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7655"/>
      </w:tblGrid>
      <w:tr w:rsidR="004678D2" w:rsidRPr="004678D2" w:rsidTr="00392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1814" w:type="dxa"/>
          </w:tcPr>
          <w:p w:rsidR="004678D2" w:rsidRPr="004678D2" w:rsidRDefault="001534AE" w:rsidP="004678D2">
            <w:pPr>
              <w:pStyle w:val="Nomdelinstitution"/>
            </w:pPr>
            <w:r>
              <w:rPr>
                <w:noProof/>
                <w:snapToGrid/>
                <w:lang w:eastAsia="hu-HU"/>
              </w:rPr>
              <w:drawing>
                <wp:inline distT="0" distB="0" distL="0" distR="0">
                  <wp:extent cx="1009650" cy="676275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678D2" w:rsidRPr="004678D2" w:rsidRDefault="004678D2" w:rsidP="004678D2">
            <w:pPr>
              <w:pStyle w:val="Nomdelinstitution"/>
            </w:pPr>
            <w:r w:rsidRPr="004678D2">
              <w:t>AZ EURÓPAI KÖZÖSSÉGEK BIZOTTSÁGA</w:t>
            </w:r>
          </w:p>
        </w:tc>
      </w:tr>
    </w:tbl>
    <w:p w:rsidR="004678D2" w:rsidRDefault="004678D2" w:rsidP="004678D2">
      <w:pPr>
        <w:pStyle w:val="Emission"/>
      </w:pPr>
      <w:r w:rsidRPr="004678D2">
        <w:t xml:space="preserve">Brüsszel, </w:t>
      </w:r>
      <w:r>
        <w:t>30.6.2009</w:t>
      </w:r>
    </w:p>
    <w:p w:rsidR="004678D2" w:rsidRPr="004678D2" w:rsidRDefault="004678D2" w:rsidP="004678D2">
      <w:pPr>
        <w:pStyle w:val="Rfrenceinstitutionelle"/>
      </w:pPr>
      <w:r>
        <w:t>SEC(2009) 895</w:t>
      </w:r>
    </w:p>
    <w:p w:rsidR="004678D2" w:rsidRDefault="004678D2" w:rsidP="004678D2">
      <w:pPr>
        <w:pStyle w:val="Confidentialit"/>
      </w:pPr>
      <w:fldSimple w:instr=" DOCPROPERTY &quot;Classification&quot; ">
        <w:r w:rsidRPr="004678D2">
          <w:t xml:space="preserve"> </w:t>
        </w:r>
      </w:fldSimple>
    </w:p>
    <w:p w:rsidR="004678D2" w:rsidRDefault="004678D2" w:rsidP="004678D2">
      <w:pPr>
        <w:pStyle w:val="Prliminairetype"/>
      </w:pPr>
      <w:r>
        <w:t>BIZOTTSÁGI SZOLGÁLATI MUNKADOKUMENTUM</w:t>
      </w:r>
    </w:p>
    <w:p w:rsidR="004678D2" w:rsidRDefault="004678D2" w:rsidP="004678D2">
      <w:pPr>
        <w:pStyle w:val="Prliminairetitre"/>
      </w:pPr>
      <w:r>
        <w:t>Kísérő dokumentum a dohányfüstmentes környezetről szóló tanácsi ajánlásra irányuló javaslathoz</w:t>
      </w:r>
      <w:r>
        <w:br/>
      </w:r>
      <w:r>
        <w:br/>
        <w:t>A HATÁSVIZSGÁLAT ÖSSZEFOGLALÁSA</w:t>
      </w:r>
      <w:r>
        <w:br/>
      </w:r>
      <w:r>
        <w:br/>
        <w:t>{COM(2008) 328 final}</w:t>
      </w:r>
      <w:r>
        <w:br/>
        <w:t>{SEC(2008) 894}</w:t>
      </w:r>
      <w:r>
        <w:br/>
        <w:t>{SEC(2008) 896}</w:t>
      </w:r>
    </w:p>
    <w:p w:rsidR="004B760C" w:rsidRPr="00E218BD" w:rsidRDefault="004B760C">
      <w:pPr>
        <w:sectPr w:rsidR="004B760C" w:rsidRPr="00E218BD" w:rsidSect="004678D2">
          <w:footerReference w:type="default" r:id="rId8"/>
          <w:footerReference w:type="first" r:id="rId9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4B760C" w:rsidRPr="00E218BD" w:rsidRDefault="004678D2" w:rsidP="004678D2">
      <w:pPr>
        <w:pStyle w:val="ManualHeading1"/>
      </w:pPr>
      <w:r w:rsidRPr="004678D2">
        <w:lastRenderedPageBreak/>
        <w:t>1.</w:t>
      </w:r>
      <w:r w:rsidRPr="004678D2">
        <w:tab/>
      </w:r>
      <w:r w:rsidR="004B760C" w:rsidRPr="00E218BD">
        <w:t>Bevezetés</w:t>
      </w:r>
    </w:p>
    <w:p w:rsidR="004B760C" w:rsidRPr="00E218BD" w:rsidRDefault="004B760C">
      <w:r w:rsidRPr="00E218BD">
        <w:t>A 2004–2010 közötti időszakra vonatkozó környezetvédelmi és egészségügyi cselekvési tervében a Bizottság elkötelezte magát amellett, hogy – különösen a munkahelyi dohányzás korlátozására irányuló intézkedések ösztönzése révén – javítsa a beltéri levegő minőségét. A „dohányfüstmentes Európáért: Az Európai Unió politikai lehetőségei” című zöld könyvön keresztül a Bizottság által kezdeményezett konzultáció jelentős támogatásról tanúskodott mind az átfogó dohányzásellenes politikák terén, mind pedig a dohányfüstmentes környezetek megvalósításának elősegítésére irányuló további uniós fellépések tekintetében. A munkahelyi egészségvédelemre és biztonságra vonatkozó közösségi stratégia (2007–2012) nagyobb erőfeszítésre szólított fel a munkavállalók egészségének és biztonságának javítása érdekében. Nemzetközi szinten a WHO dohányzás-ellenőrzési keretegyezménye arra kötelezi az egyezmény részes feleit, hogy lépjenek fel a beltéri munkahelyeken és nyilvános helyeken a dohányfüstnek való kitettség ellen.</w:t>
      </w:r>
    </w:p>
    <w:p w:rsidR="004B760C" w:rsidRPr="00E218BD" w:rsidRDefault="004678D2" w:rsidP="004678D2">
      <w:pPr>
        <w:pStyle w:val="ManualHeading1"/>
      </w:pPr>
      <w:r w:rsidRPr="004678D2">
        <w:t>2.</w:t>
      </w:r>
      <w:r w:rsidRPr="004678D2">
        <w:tab/>
      </w:r>
      <w:r w:rsidR="004B760C" w:rsidRPr="00E218BD">
        <w:t>Háttér és a probléma meghatározása</w:t>
      </w:r>
    </w:p>
    <w:p w:rsidR="004B760C" w:rsidRPr="0028621B" w:rsidRDefault="004678D2" w:rsidP="004678D2">
      <w:pPr>
        <w:pStyle w:val="ManualHeading2"/>
      </w:pPr>
      <w:r w:rsidRPr="004678D2">
        <w:t>2.1.</w:t>
      </w:r>
      <w:r w:rsidRPr="004678D2">
        <w:tab/>
      </w:r>
      <w:r w:rsidR="004B760C" w:rsidRPr="0028621B">
        <w:t>Háttér</w:t>
      </w:r>
    </w:p>
    <w:p w:rsidR="004B760C" w:rsidRPr="00E218BD" w:rsidRDefault="004678D2" w:rsidP="004678D2">
      <w:pPr>
        <w:pStyle w:val="ManualHeading3"/>
      </w:pPr>
      <w:r w:rsidRPr="004678D2">
        <w:t>2.1.1.</w:t>
      </w:r>
      <w:r w:rsidRPr="004678D2">
        <w:tab/>
      </w:r>
      <w:r w:rsidR="004B760C" w:rsidRPr="00E218BD">
        <w:t>A környezeti dohányfüstnek való kitettség egészségügyi következményei</w:t>
      </w:r>
    </w:p>
    <w:p w:rsidR="004B760C" w:rsidRPr="00E218BD" w:rsidRDefault="004B760C">
      <w:r w:rsidRPr="00E218BD">
        <w:t>A környezeti dohányfüstnek – melyet másodlagos dohányfüstnek vagy passzív dohányzásnak is neveznek – való kitettség az EU-ban nagy arányú halálozás, morbiditás és fogyatékosság forrása. A környezeti dohányfüst és a felnőtteknél jelentkező tüdőrák, szívkoszorúér-betegség, stroke, asztma és krónikus obstruktív tüdőbetegség között összefüggést tártak fel. A dohányfüst a gyermekek számára is káros: hirtelen csecsemőhalált, akut légúti fertőzéseket, középfül-gyulladást és súlyos asztmát okozhat.</w:t>
      </w:r>
    </w:p>
    <w:p w:rsidR="004B760C" w:rsidRPr="00E218BD" w:rsidRDefault="004B760C">
      <w:r w:rsidRPr="00E218BD">
        <w:t>Korábbi becslések szerint 20</w:t>
      </w:r>
      <w:r w:rsidR="00484867">
        <w:t>02-ben az EU-25 tagállamaiban 73</w:t>
      </w:r>
      <w:r w:rsidRPr="00E218BD">
        <w:t>00 felnőtt – köztük 2800 nem dohányzó – halt meg a környezeti dohányfüstnek való munkahelyi kitettség következtében. További 72 000 személy, köztük 16 400 nem dohányzó halálát okozhatta a környezeti dohányfüstnek való otthoni kitettség</w:t>
      </w:r>
      <w:r w:rsidRPr="00E218BD">
        <w:rPr>
          <w:rStyle w:val="Lbjegyzet-hivatkozs"/>
        </w:rPr>
        <w:footnoteReference w:id="1"/>
      </w:r>
      <w:r w:rsidRPr="00E218BD">
        <w:t>. A hatásvizsgálat becslései szerint az irodákban, illetve vendéglátó-ipari egységekben (bárok, éttermek) történő passzív dohányzásnak tulajdonítható halálozások száma az EU 27 tagállamában 2008-ban 6000-re tehető, amelybe beletartozik 2500 nem dohányzó alkalmazott halála. Valószínűleg további jelentős egészségügyi és pénzügyi terhet jelent azok dohányfüstnek való kitettsége, akik nem az érintett munkahelyek személyzethez tartoznak (például a bárok vagy éttermek vendégei).</w:t>
      </w:r>
      <w:r w:rsidRPr="00E218BD">
        <w:tab/>
      </w:r>
    </w:p>
    <w:p w:rsidR="004B760C" w:rsidRPr="00E218BD" w:rsidRDefault="004B760C">
      <w:pPr>
        <w:rPr>
          <w:rFonts w:ascii="Arial" w:hAnsi="Arial"/>
          <w:sz w:val="18"/>
        </w:rPr>
      </w:pPr>
      <w:r w:rsidRPr="00E218BD">
        <w:rPr>
          <w:rFonts w:ascii="Arial" w:hAnsi="Arial"/>
          <w:sz w:val="18"/>
        </w:rPr>
        <w:t>A környezeti dohányfüstnek való kitettség következtében bekövetkezett, EU-n belüli halálesetek becsült száma 2008-ban a dohányzó és nem dohányzó alkalmazottak körében</w:t>
      </w:r>
    </w:p>
    <w:tbl>
      <w:tblPr>
        <w:tblStyle w:val="Rcsostblzat"/>
        <w:tblW w:w="8847" w:type="dxa"/>
        <w:tblLayout w:type="fixed"/>
        <w:tblLook w:val="01E0"/>
      </w:tblPr>
      <w:tblGrid>
        <w:gridCol w:w="1761"/>
        <w:gridCol w:w="846"/>
        <w:gridCol w:w="1200"/>
        <w:gridCol w:w="720"/>
        <w:gridCol w:w="914"/>
        <w:gridCol w:w="1128"/>
        <w:gridCol w:w="666"/>
        <w:gridCol w:w="1612"/>
      </w:tblGrid>
      <w:tr w:rsidR="004B760C" w:rsidRPr="00E218BD">
        <w:tc>
          <w:tcPr>
            <w:tcW w:w="1761" w:type="dxa"/>
          </w:tcPr>
          <w:p w:rsidR="004B760C" w:rsidRPr="00E218BD" w:rsidRDefault="004B760C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2766" w:type="dxa"/>
            <w:gridSpan w:val="3"/>
            <w:shd w:val="clear" w:color="auto" w:fill="F3F3F3"/>
            <w:vAlign w:val="center"/>
          </w:tcPr>
          <w:p w:rsidR="004B760C" w:rsidRPr="006A0812" w:rsidRDefault="004B760C">
            <w:pPr>
              <w:spacing w:before="60" w:after="60"/>
              <w:jc w:val="center"/>
              <w:rPr>
                <w:b/>
              </w:rPr>
            </w:pPr>
            <w:r w:rsidRPr="006A0812">
              <w:rPr>
                <w:b/>
                <w:sz w:val="18"/>
              </w:rPr>
              <w:t>Nem dohányzók</w:t>
            </w:r>
          </w:p>
        </w:tc>
        <w:tc>
          <w:tcPr>
            <w:tcW w:w="2708" w:type="dxa"/>
            <w:gridSpan w:val="3"/>
            <w:vAlign w:val="center"/>
          </w:tcPr>
          <w:p w:rsidR="004B760C" w:rsidRPr="006A0812" w:rsidRDefault="004B760C">
            <w:pPr>
              <w:spacing w:before="60" w:after="60"/>
              <w:jc w:val="center"/>
              <w:rPr>
                <w:b/>
              </w:rPr>
            </w:pPr>
            <w:r w:rsidRPr="006A0812">
              <w:rPr>
                <w:b/>
                <w:sz w:val="18"/>
              </w:rPr>
              <w:t>Dohányzók</w:t>
            </w:r>
          </w:p>
        </w:tc>
        <w:tc>
          <w:tcPr>
            <w:tcW w:w="1612" w:type="dxa"/>
            <w:shd w:val="clear" w:color="auto" w:fill="F3F3F3"/>
            <w:vAlign w:val="center"/>
          </w:tcPr>
          <w:p w:rsidR="004B760C" w:rsidRPr="006A0812" w:rsidRDefault="004B760C">
            <w:pPr>
              <w:spacing w:before="60" w:after="60"/>
              <w:jc w:val="center"/>
              <w:rPr>
                <w:b/>
              </w:rPr>
            </w:pPr>
            <w:r w:rsidRPr="006A0812">
              <w:rPr>
                <w:b/>
                <w:sz w:val="18"/>
              </w:rPr>
              <w:t>Dohányzók és nem dohányzók</w:t>
            </w:r>
          </w:p>
        </w:tc>
      </w:tr>
      <w:tr w:rsidR="004B760C" w:rsidRPr="00E218BD">
        <w:tc>
          <w:tcPr>
            <w:tcW w:w="1761" w:type="dxa"/>
          </w:tcPr>
          <w:p w:rsidR="004B760C" w:rsidRPr="00E218BD" w:rsidRDefault="004B760C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46" w:type="dxa"/>
            <w:shd w:val="clear" w:color="auto" w:fill="F3F3F3"/>
            <w:vAlign w:val="center"/>
          </w:tcPr>
          <w:p w:rsidR="004B760C" w:rsidRPr="00E218BD" w:rsidRDefault="004B760C">
            <w:pPr>
              <w:spacing w:before="60" w:after="60"/>
              <w:jc w:val="center"/>
              <w:rPr>
                <w:b/>
              </w:rPr>
            </w:pPr>
            <w:r w:rsidRPr="006A0812">
              <w:rPr>
                <w:b/>
                <w:sz w:val="18"/>
              </w:rPr>
              <w:t>Irodák</w:t>
            </w:r>
          </w:p>
        </w:tc>
        <w:tc>
          <w:tcPr>
            <w:tcW w:w="1200" w:type="dxa"/>
            <w:shd w:val="clear" w:color="auto" w:fill="F3F3F3"/>
            <w:vAlign w:val="center"/>
          </w:tcPr>
          <w:p w:rsidR="004B760C" w:rsidRPr="006A0812" w:rsidRDefault="004B760C">
            <w:pPr>
              <w:spacing w:before="60" w:after="60"/>
              <w:jc w:val="center"/>
              <w:rPr>
                <w:b/>
              </w:rPr>
            </w:pPr>
            <w:r w:rsidRPr="006A0812">
              <w:rPr>
                <w:b/>
                <w:sz w:val="18"/>
              </w:rPr>
              <w:t>Bárok és éttermek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4B760C" w:rsidRPr="006A0812" w:rsidRDefault="004B760C">
            <w:pPr>
              <w:spacing w:before="60" w:after="60"/>
              <w:jc w:val="center"/>
              <w:rPr>
                <w:b/>
              </w:rPr>
            </w:pPr>
            <w:r w:rsidRPr="006A0812">
              <w:rPr>
                <w:b/>
                <w:sz w:val="18"/>
              </w:rPr>
              <w:t>Összesen</w:t>
            </w:r>
          </w:p>
        </w:tc>
        <w:tc>
          <w:tcPr>
            <w:tcW w:w="914" w:type="dxa"/>
            <w:vAlign w:val="center"/>
          </w:tcPr>
          <w:p w:rsidR="004B760C" w:rsidRPr="006A0812" w:rsidRDefault="004B760C">
            <w:pPr>
              <w:spacing w:before="60" w:after="60"/>
              <w:jc w:val="center"/>
              <w:rPr>
                <w:b/>
              </w:rPr>
            </w:pPr>
            <w:r w:rsidRPr="006A0812">
              <w:rPr>
                <w:b/>
                <w:sz w:val="18"/>
              </w:rPr>
              <w:t>Irodák</w:t>
            </w:r>
          </w:p>
        </w:tc>
        <w:tc>
          <w:tcPr>
            <w:tcW w:w="1128" w:type="dxa"/>
            <w:vAlign w:val="center"/>
          </w:tcPr>
          <w:p w:rsidR="004B760C" w:rsidRPr="006A0812" w:rsidRDefault="004B760C">
            <w:pPr>
              <w:spacing w:before="60" w:after="60"/>
              <w:jc w:val="center"/>
              <w:rPr>
                <w:b/>
              </w:rPr>
            </w:pPr>
            <w:r w:rsidRPr="006A0812">
              <w:rPr>
                <w:b/>
                <w:sz w:val="18"/>
              </w:rPr>
              <w:t>Bárok és éttermek</w:t>
            </w:r>
          </w:p>
        </w:tc>
        <w:tc>
          <w:tcPr>
            <w:tcW w:w="666" w:type="dxa"/>
            <w:vAlign w:val="center"/>
          </w:tcPr>
          <w:p w:rsidR="004B760C" w:rsidRPr="006A0812" w:rsidRDefault="004B760C">
            <w:pPr>
              <w:spacing w:before="60" w:after="60"/>
              <w:jc w:val="center"/>
              <w:rPr>
                <w:b/>
              </w:rPr>
            </w:pPr>
            <w:r w:rsidRPr="006A0812">
              <w:rPr>
                <w:b/>
                <w:sz w:val="18"/>
              </w:rPr>
              <w:t>Összesen</w:t>
            </w:r>
          </w:p>
        </w:tc>
        <w:tc>
          <w:tcPr>
            <w:tcW w:w="1612" w:type="dxa"/>
            <w:shd w:val="clear" w:color="auto" w:fill="F3F3F3"/>
            <w:vAlign w:val="center"/>
          </w:tcPr>
          <w:p w:rsidR="004B760C" w:rsidRPr="006A0812" w:rsidRDefault="004B760C">
            <w:pPr>
              <w:spacing w:before="60" w:after="60"/>
              <w:jc w:val="center"/>
              <w:rPr>
                <w:b/>
              </w:rPr>
            </w:pPr>
            <w:r w:rsidRPr="006A0812">
              <w:rPr>
                <w:b/>
                <w:sz w:val="18"/>
              </w:rPr>
              <w:t>Összesen</w:t>
            </w:r>
          </w:p>
        </w:tc>
      </w:tr>
      <w:tr w:rsidR="004B760C" w:rsidRPr="00E218BD">
        <w:tc>
          <w:tcPr>
            <w:tcW w:w="1761" w:type="dxa"/>
          </w:tcPr>
          <w:p w:rsidR="004B760C" w:rsidRPr="006662A4" w:rsidRDefault="004B760C">
            <w:pPr>
              <w:spacing w:before="60" w:after="60"/>
              <w:jc w:val="left"/>
              <w:rPr>
                <w:b/>
              </w:rPr>
            </w:pPr>
            <w:r w:rsidRPr="006662A4">
              <w:rPr>
                <w:b/>
                <w:sz w:val="18"/>
              </w:rPr>
              <w:t>Tüdőrák</w:t>
            </w:r>
          </w:p>
        </w:tc>
        <w:tc>
          <w:tcPr>
            <w:tcW w:w="846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387 </w:t>
            </w:r>
          </w:p>
        </w:tc>
        <w:tc>
          <w:tcPr>
            <w:tcW w:w="1200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156 </w:t>
            </w:r>
          </w:p>
        </w:tc>
        <w:tc>
          <w:tcPr>
            <w:tcW w:w="720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542 </w:t>
            </w:r>
          </w:p>
        </w:tc>
        <w:tc>
          <w:tcPr>
            <w:tcW w:w="914" w:type="dxa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600 </w:t>
            </w:r>
          </w:p>
        </w:tc>
        <w:tc>
          <w:tcPr>
            <w:tcW w:w="1128" w:type="dxa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161 </w:t>
            </w:r>
          </w:p>
        </w:tc>
        <w:tc>
          <w:tcPr>
            <w:tcW w:w="666" w:type="dxa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761 </w:t>
            </w:r>
          </w:p>
        </w:tc>
        <w:tc>
          <w:tcPr>
            <w:tcW w:w="1612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b/>
                <w:sz w:val="18"/>
              </w:rPr>
            </w:pPr>
            <w:r w:rsidRPr="006A0812">
              <w:rPr>
                <w:b/>
                <w:sz w:val="18"/>
              </w:rPr>
              <w:t>1303</w:t>
            </w:r>
          </w:p>
        </w:tc>
      </w:tr>
      <w:tr w:rsidR="004B760C" w:rsidRPr="00E218BD">
        <w:tc>
          <w:tcPr>
            <w:tcW w:w="1761" w:type="dxa"/>
          </w:tcPr>
          <w:p w:rsidR="004B760C" w:rsidRPr="006662A4" w:rsidRDefault="004B760C">
            <w:pPr>
              <w:spacing w:before="60" w:after="60"/>
              <w:jc w:val="left"/>
              <w:rPr>
                <w:b/>
              </w:rPr>
            </w:pPr>
            <w:r w:rsidRPr="006662A4">
              <w:rPr>
                <w:b/>
                <w:sz w:val="18"/>
              </w:rPr>
              <w:lastRenderedPageBreak/>
              <w:t>Stroke</w:t>
            </w:r>
          </w:p>
        </w:tc>
        <w:tc>
          <w:tcPr>
            <w:tcW w:w="846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378</w:t>
            </w:r>
          </w:p>
        </w:tc>
        <w:tc>
          <w:tcPr>
            <w:tcW w:w="1200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160 </w:t>
            </w:r>
          </w:p>
        </w:tc>
        <w:tc>
          <w:tcPr>
            <w:tcW w:w="720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538 </w:t>
            </w:r>
          </w:p>
        </w:tc>
        <w:tc>
          <w:tcPr>
            <w:tcW w:w="914" w:type="dxa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601 </w:t>
            </w:r>
          </w:p>
        </w:tc>
        <w:tc>
          <w:tcPr>
            <w:tcW w:w="1128" w:type="dxa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197 </w:t>
            </w:r>
          </w:p>
        </w:tc>
        <w:tc>
          <w:tcPr>
            <w:tcW w:w="666" w:type="dxa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798 </w:t>
            </w:r>
          </w:p>
        </w:tc>
        <w:tc>
          <w:tcPr>
            <w:tcW w:w="1612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b/>
                <w:sz w:val="18"/>
              </w:rPr>
            </w:pPr>
            <w:r w:rsidRPr="006A0812">
              <w:rPr>
                <w:b/>
                <w:sz w:val="18"/>
              </w:rPr>
              <w:t>1336</w:t>
            </w:r>
          </w:p>
        </w:tc>
      </w:tr>
      <w:tr w:rsidR="004B760C" w:rsidRPr="00E218BD">
        <w:tc>
          <w:tcPr>
            <w:tcW w:w="1761" w:type="dxa"/>
          </w:tcPr>
          <w:p w:rsidR="004B760C" w:rsidRPr="006662A4" w:rsidRDefault="004B760C">
            <w:pPr>
              <w:spacing w:before="60" w:after="60"/>
              <w:jc w:val="left"/>
              <w:rPr>
                <w:b/>
              </w:rPr>
            </w:pPr>
            <w:r w:rsidRPr="006662A4">
              <w:rPr>
                <w:b/>
                <w:sz w:val="18"/>
              </w:rPr>
              <w:t>Szívbetegségek</w:t>
            </w:r>
          </w:p>
        </w:tc>
        <w:tc>
          <w:tcPr>
            <w:tcW w:w="846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384 </w:t>
            </w:r>
          </w:p>
        </w:tc>
        <w:tc>
          <w:tcPr>
            <w:tcW w:w="1200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138 </w:t>
            </w:r>
          </w:p>
        </w:tc>
        <w:tc>
          <w:tcPr>
            <w:tcW w:w="720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522 </w:t>
            </w:r>
          </w:p>
        </w:tc>
        <w:tc>
          <w:tcPr>
            <w:tcW w:w="914" w:type="dxa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612 </w:t>
            </w:r>
          </w:p>
        </w:tc>
        <w:tc>
          <w:tcPr>
            <w:tcW w:w="1128" w:type="dxa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159 </w:t>
            </w:r>
          </w:p>
        </w:tc>
        <w:tc>
          <w:tcPr>
            <w:tcW w:w="666" w:type="dxa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771 </w:t>
            </w:r>
          </w:p>
        </w:tc>
        <w:tc>
          <w:tcPr>
            <w:tcW w:w="1612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b/>
                <w:sz w:val="18"/>
              </w:rPr>
            </w:pPr>
            <w:r w:rsidRPr="006A0812">
              <w:rPr>
                <w:b/>
                <w:sz w:val="18"/>
              </w:rPr>
              <w:t>1293</w:t>
            </w:r>
          </w:p>
        </w:tc>
      </w:tr>
      <w:tr w:rsidR="004B760C" w:rsidRPr="00E218BD">
        <w:tc>
          <w:tcPr>
            <w:tcW w:w="1761" w:type="dxa"/>
          </w:tcPr>
          <w:p w:rsidR="004B760C" w:rsidRPr="006662A4" w:rsidRDefault="004B760C">
            <w:pPr>
              <w:spacing w:before="60" w:after="0"/>
              <w:jc w:val="left"/>
              <w:rPr>
                <w:b/>
              </w:rPr>
            </w:pPr>
            <w:r w:rsidRPr="006662A4">
              <w:rPr>
                <w:b/>
                <w:sz w:val="18"/>
              </w:rPr>
              <w:t xml:space="preserve">Krónikus </w:t>
            </w:r>
          </w:p>
          <w:p w:rsidR="004B760C" w:rsidRPr="006662A4" w:rsidRDefault="004B760C">
            <w:pPr>
              <w:spacing w:before="0" w:after="60"/>
              <w:jc w:val="left"/>
              <w:rPr>
                <w:b/>
              </w:rPr>
            </w:pPr>
            <w:r w:rsidRPr="006662A4">
              <w:rPr>
                <w:b/>
                <w:sz w:val="18"/>
              </w:rPr>
              <w:t>alsó légúti megbetegedések</w:t>
            </w:r>
          </w:p>
        </w:tc>
        <w:tc>
          <w:tcPr>
            <w:tcW w:w="846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565</w:t>
            </w:r>
          </w:p>
        </w:tc>
        <w:tc>
          <w:tcPr>
            <w:tcW w:w="1200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332 </w:t>
            </w:r>
          </w:p>
        </w:tc>
        <w:tc>
          <w:tcPr>
            <w:tcW w:w="720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897 </w:t>
            </w:r>
          </w:p>
        </w:tc>
        <w:tc>
          <w:tcPr>
            <w:tcW w:w="914" w:type="dxa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881 </w:t>
            </w:r>
          </w:p>
        </w:tc>
        <w:tc>
          <w:tcPr>
            <w:tcW w:w="1128" w:type="dxa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296 </w:t>
            </w:r>
          </w:p>
        </w:tc>
        <w:tc>
          <w:tcPr>
            <w:tcW w:w="666" w:type="dxa"/>
          </w:tcPr>
          <w:p w:rsidR="004B760C" w:rsidRPr="006A0812" w:rsidRDefault="004B760C">
            <w:pPr>
              <w:spacing w:before="60" w:after="60"/>
              <w:jc w:val="center"/>
              <w:rPr>
                <w:sz w:val="18"/>
              </w:rPr>
            </w:pPr>
            <w:r w:rsidRPr="006A0812">
              <w:rPr>
                <w:sz w:val="18"/>
              </w:rPr>
              <w:t xml:space="preserve"> 1 176 </w:t>
            </w:r>
          </w:p>
        </w:tc>
        <w:tc>
          <w:tcPr>
            <w:tcW w:w="1612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b/>
                <w:sz w:val="18"/>
              </w:rPr>
            </w:pPr>
            <w:r w:rsidRPr="006A0812">
              <w:rPr>
                <w:b/>
                <w:sz w:val="18"/>
              </w:rPr>
              <w:t>2073</w:t>
            </w:r>
          </w:p>
        </w:tc>
      </w:tr>
      <w:tr w:rsidR="004B760C" w:rsidRPr="00E218BD">
        <w:tc>
          <w:tcPr>
            <w:tcW w:w="1761" w:type="dxa"/>
          </w:tcPr>
          <w:p w:rsidR="004B760C" w:rsidRPr="006662A4" w:rsidRDefault="004B760C">
            <w:pPr>
              <w:spacing w:before="60" w:after="60"/>
              <w:jc w:val="left"/>
              <w:rPr>
                <w:b/>
              </w:rPr>
            </w:pPr>
            <w:r w:rsidRPr="006662A4">
              <w:rPr>
                <w:b/>
                <w:sz w:val="18"/>
              </w:rPr>
              <w:t>Összesen</w:t>
            </w:r>
          </w:p>
        </w:tc>
        <w:tc>
          <w:tcPr>
            <w:tcW w:w="846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b/>
                <w:sz w:val="18"/>
              </w:rPr>
            </w:pPr>
            <w:r w:rsidRPr="006A0812">
              <w:rPr>
                <w:b/>
                <w:sz w:val="18"/>
              </w:rPr>
              <w:t xml:space="preserve"> 1 714 </w:t>
            </w:r>
          </w:p>
        </w:tc>
        <w:tc>
          <w:tcPr>
            <w:tcW w:w="1200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b/>
                <w:sz w:val="18"/>
              </w:rPr>
            </w:pPr>
            <w:r w:rsidRPr="006A0812">
              <w:rPr>
                <w:b/>
                <w:sz w:val="18"/>
              </w:rPr>
              <w:t xml:space="preserve"> 786 </w:t>
            </w:r>
          </w:p>
        </w:tc>
        <w:tc>
          <w:tcPr>
            <w:tcW w:w="720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b/>
                <w:sz w:val="18"/>
              </w:rPr>
            </w:pPr>
            <w:r w:rsidRPr="006A0812">
              <w:rPr>
                <w:b/>
                <w:sz w:val="18"/>
              </w:rPr>
              <w:t xml:space="preserve"> 2 500 </w:t>
            </w:r>
          </w:p>
        </w:tc>
        <w:tc>
          <w:tcPr>
            <w:tcW w:w="914" w:type="dxa"/>
          </w:tcPr>
          <w:p w:rsidR="004B760C" w:rsidRPr="006A0812" w:rsidRDefault="004B760C">
            <w:pPr>
              <w:spacing w:before="60" w:after="60"/>
              <w:jc w:val="center"/>
              <w:rPr>
                <w:b/>
                <w:sz w:val="18"/>
              </w:rPr>
            </w:pPr>
            <w:r w:rsidRPr="006A0812">
              <w:rPr>
                <w:b/>
                <w:sz w:val="18"/>
              </w:rPr>
              <w:t xml:space="preserve"> 2 694 </w:t>
            </w:r>
          </w:p>
        </w:tc>
        <w:tc>
          <w:tcPr>
            <w:tcW w:w="1128" w:type="dxa"/>
          </w:tcPr>
          <w:p w:rsidR="004B760C" w:rsidRPr="006A0812" w:rsidRDefault="004B760C">
            <w:pPr>
              <w:spacing w:before="60" w:after="60"/>
              <w:jc w:val="center"/>
              <w:rPr>
                <w:b/>
                <w:sz w:val="18"/>
              </w:rPr>
            </w:pPr>
            <w:r w:rsidRPr="006A0812">
              <w:rPr>
                <w:b/>
                <w:sz w:val="18"/>
              </w:rPr>
              <w:t xml:space="preserve"> 813 </w:t>
            </w:r>
          </w:p>
        </w:tc>
        <w:tc>
          <w:tcPr>
            <w:tcW w:w="666" w:type="dxa"/>
          </w:tcPr>
          <w:p w:rsidR="004B760C" w:rsidRPr="006A0812" w:rsidRDefault="004B760C">
            <w:pPr>
              <w:spacing w:before="60" w:after="60"/>
              <w:jc w:val="center"/>
              <w:rPr>
                <w:b/>
                <w:sz w:val="18"/>
              </w:rPr>
            </w:pPr>
            <w:r w:rsidRPr="006A0812">
              <w:rPr>
                <w:b/>
                <w:sz w:val="18"/>
              </w:rPr>
              <w:t xml:space="preserve"> 3 507 </w:t>
            </w:r>
          </w:p>
        </w:tc>
        <w:tc>
          <w:tcPr>
            <w:tcW w:w="1612" w:type="dxa"/>
            <w:shd w:val="clear" w:color="auto" w:fill="F3F3F3"/>
          </w:tcPr>
          <w:p w:rsidR="004B760C" w:rsidRPr="006A0812" w:rsidRDefault="004B760C">
            <w:pPr>
              <w:spacing w:before="60" w:after="60"/>
              <w:jc w:val="center"/>
              <w:rPr>
                <w:b/>
                <w:sz w:val="18"/>
              </w:rPr>
            </w:pPr>
            <w:r w:rsidRPr="006A0812">
              <w:rPr>
                <w:b/>
                <w:sz w:val="18"/>
              </w:rPr>
              <w:t>6 007</w:t>
            </w:r>
            <w:r w:rsidRPr="006A0812">
              <w:rPr>
                <w:b/>
              </w:rPr>
              <w:t xml:space="preserve"> </w:t>
            </w:r>
          </w:p>
        </w:tc>
      </w:tr>
    </w:tbl>
    <w:p w:rsidR="004B760C" w:rsidRPr="00E218BD" w:rsidRDefault="004B760C">
      <w:r w:rsidRPr="006662A4">
        <w:t>Ha ezeket a halálozási adatokat összehasonlítjuk más (akár munkahelyspecifikus, akár a teljes népességet érintő) egészségügyi kockázatok halálozási adataival, egyértelmű a környezeti dohányfüstnek</w:t>
      </w:r>
      <w:r w:rsidRPr="00E218BD">
        <w:t xml:space="preserve"> való kitettség jelentette számottevő egészségügyi teher.</w:t>
      </w:r>
    </w:p>
    <w:p w:rsidR="004B760C" w:rsidRPr="00E218BD" w:rsidRDefault="004678D2" w:rsidP="004678D2">
      <w:pPr>
        <w:pStyle w:val="ManualHeading3"/>
      </w:pPr>
      <w:r w:rsidRPr="004678D2">
        <w:t>2.1.2.</w:t>
      </w:r>
      <w:r w:rsidRPr="004678D2">
        <w:tab/>
      </w:r>
      <w:r w:rsidR="004B760C" w:rsidRPr="00E218BD">
        <w:t>A környezeti dohányfüstnek való kitettség gazdasági következményei</w:t>
      </w:r>
    </w:p>
    <w:p w:rsidR="004B760C" w:rsidRPr="00E218BD" w:rsidRDefault="004B760C">
      <w:r w:rsidRPr="00E218BD">
        <w:t>A környezeti dohányfüstnek való kitettség jelentős pénzügyi terhet jelent. A környezeti dohányfüstnek való munkahelyi kitettség az EU 27 tagállamában a becslések szerint évi 2,46 milliárd EUR makrogazdasági költséggel jár. Ezt az összeget a dohányzással összefüggő megbetegedésekre fordított, 1,3 milliárd EUR-t meghaladó egészségügyi kiadás (beleértve a nem dohányzó alkalmazottak ellátására fordított 560 millió EUR-t), valamint több mint 1,1 milliárd EUR nem egészségügyi jellegű, a termelékenységben bekövetkezett veszteségekhez kapcsolódó kiadás (beleértve 480 millió EUR-t a nem dohányzó alkalmazottakkal összefüggésben) alkotja. A környezeti dohányfüstnek való kitettség mikrogazdasági terhei közé a munkavállalók alacsonyabb termelékenysége, a dohányzóeszközök által előidézett tűzkár, valamint a dohányzáshoz kapcsolódó további takarítási és felújítási költségek tartoznak.</w:t>
      </w:r>
    </w:p>
    <w:p w:rsidR="004B760C" w:rsidRPr="000D1138" w:rsidRDefault="004678D2" w:rsidP="004678D2">
      <w:pPr>
        <w:pStyle w:val="ManualHeading2"/>
      </w:pPr>
      <w:r w:rsidRPr="004678D2">
        <w:t>2.2.</w:t>
      </w:r>
      <w:r w:rsidRPr="004678D2">
        <w:tab/>
      </w:r>
      <w:r w:rsidR="004B760C" w:rsidRPr="000D1138">
        <w:t>A probléma meghatározása</w:t>
      </w:r>
    </w:p>
    <w:p w:rsidR="004B760C" w:rsidRPr="00E218BD" w:rsidRDefault="004678D2" w:rsidP="004678D2">
      <w:pPr>
        <w:pStyle w:val="ManualHeading3"/>
      </w:pPr>
      <w:r w:rsidRPr="004678D2">
        <w:t>2.2.1.</w:t>
      </w:r>
      <w:r w:rsidRPr="004678D2">
        <w:tab/>
      </w:r>
      <w:r w:rsidR="004B760C" w:rsidRPr="00E218BD">
        <w:t>A dohányzás-ellenes keretegyezményből eredő nemzetközi kötelezettségek elégtelen betartása</w:t>
      </w:r>
    </w:p>
    <w:p w:rsidR="004B760C" w:rsidRPr="00E218BD" w:rsidRDefault="004B760C">
      <w:r w:rsidRPr="00E218BD">
        <w:t xml:space="preserve">A WHO dohányzás-ellenőrzési keretegyezménye, melyet a Közösség és 26 tagállama megerősített, jogilag kötelezi a részes feleket, hogy védelmet biztosítsanak az emberek számára a dohányfüsttel szemben minden beltéri munkahelyen, a tömegközlekedésben és a beltéri nyilvános helyeken. A felek második, 2007. júliusi konferenciája iránymutatásokat fogadott el, amelyek meghatározták a minden fél számára megvalósítandó referenciacélokat. </w:t>
      </w:r>
    </w:p>
    <w:p w:rsidR="004B760C" w:rsidRPr="00E218BD" w:rsidRDefault="004B760C">
      <w:pPr>
        <w:tabs>
          <w:tab w:val="num" w:pos="0"/>
        </w:tabs>
      </w:pPr>
      <w:r w:rsidRPr="00E218BD">
        <w:t xml:space="preserve">Jelenleg azonban mindössze a tagállamok alig több mint egy harmada dolgozott ki a dohányzás-ellenőrzési keretegyezmény értelmében tett kötelezettségvállalások betartását célzó szakpolitikákat. Számos országban komoly nehézséget okoz az átfogó dohányzásellenes törvények bevezetése és/vagy érvényre juttatása. A bárok és éttermek különösen nehezen szabályozható területnek bizonyultak. Jelenleg nem valószínű, hogy valamennyi tagállam teljesíteni tudja a dohányzás-ellenőrzési keretegyezmény értelmében vállalt kötelezettségeit, kivéve abban az esetben, ha uniós szintű politikai ösztönzés és ellenőrzési mechanizmus jön létre. </w:t>
      </w:r>
    </w:p>
    <w:p w:rsidR="004B760C" w:rsidRPr="00E218BD" w:rsidRDefault="004B760C">
      <w:pPr>
        <w:tabs>
          <w:tab w:val="left" w:pos="8160"/>
        </w:tabs>
      </w:pPr>
      <w:r w:rsidRPr="00E218BD">
        <w:t xml:space="preserve">A Közösség mindeddig csak részleges intézkedéseket hozott a dohányfüstmentes környezet elősegítése érdekében. A kérdéssel nem kötelező erejű állásfoglalások és ajánlások formájában foglalkoztak, melyek azonban nem nyújtanak részletes útmutatást a teljes mértékben dohányfüstmentes környezet megvalósításának módja tekintetében. Emellett a kérdéssel több, munkahelyi egészségről és biztonságról szóló irányelv is foglalkozik, de egyes esetekben csak közvetve érintik a témát, míg más jogszabályokban a védelem szintje nem átfogó. </w:t>
      </w:r>
    </w:p>
    <w:p w:rsidR="004B760C" w:rsidRPr="00E218BD" w:rsidRDefault="004678D2" w:rsidP="004678D2">
      <w:pPr>
        <w:pStyle w:val="ManualHeading3"/>
      </w:pPr>
      <w:r w:rsidRPr="004678D2">
        <w:lastRenderedPageBreak/>
        <w:t>2.2.2.</w:t>
      </w:r>
      <w:r w:rsidRPr="004678D2">
        <w:tab/>
      </w:r>
      <w:r w:rsidR="004B760C" w:rsidRPr="00E218BD">
        <w:t>A környezeti dohányfüst magas és kiegyensúlyozatlan elterjedtsége az EU 27 tagállamában</w:t>
      </w:r>
    </w:p>
    <w:p w:rsidR="004B760C" w:rsidRPr="00E218BD" w:rsidRDefault="004B760C">
      <w:r w:rsidRPr="00E218BD">
        <w:t xml:space="preserve">Azokban az országokban, amelyekben nem léteznek átfogó dohányzásellenes törvények, a dohányzás a legtöbb nyilvános helyen, így legtöbbször a munkahelyeken is jelen van. Az Eurobarométer 2006 végén szolgáltatott adatai alapján a becslések szerint az Európai Unióban dolgozó munkavállalók 28%-a van kitéve naponta környezeti dohányfüstnek beltéri munkahelyeken és irodákban, 2008 végéről származó adatok alapján pedig ez a szám bárok és éttermek esetében 39%. Emellett a vendéglátó-ipari egységek vendégei különösen nagy mértékű környezeti dohányfüstnek – és az ezzel járó egészségügyi kockázatoknak – vannak kitéve. </w:t>
      </w:r>
    </w:p>
    <w:p w:rsidR="004B760C" w:rsidRPr="00E218BD" w:rsidRDefault="004B760C">
      <w:r w:rsidRPr="00E218BD">
        <w:t xml:space="preserve">A tagállamok között nagy eltérések mutatkoznak a környezeti dohányfüstnek való kitettség terén: míg Írországban ez az arány 3%, Görögországban eléri a 85%-ot. A nemzeti dohányzásellenes törvények hatálya és erőssége döntő tényező a környezeti dohányfüstnek való kitettség EU-n belül tapasztalható eltérései terén. </w:t>
      </w:r>
    </w:p>
    <w:p w:rsidR="004B760C" w:rsidRPr="00E218BD" w:rsidRDefault="004B760C">
      <w:pPr>
        <w:autoSpaceDE w:val="0"/>
        <w:autoSpaceDN w:val="0"/>
        <w:adjustRightInd w:val="0"/>
      </w:pPr>
      <w:r w:rsidRPr="00E218BD">
        <w:t>A környezeti dohányfüstnek való kitettség veszélye emellett jelentősen nagyobb az alacsonyabb gazdasági-társadalmi csoportok esetében, ami tovább növeli az egészség terén meglévő egyenlőtlenségeket.</w:t>
      </w:r>
    </w:p>
    <w:p w:rsidR="004B760C" w:rsidRPr="00E218BD" w:rsidRDefault="004678D2" w:rsidP="004678D2">
      <w:pPr>
        <w:pStyle w:val="ManualHeading3"/>
      </w:pPr>
      <w:r w:rsidRPr="004678D2">
        <w:t>2.2.3.</w:t>
      </w:r>
      <w:r w:rsidRPr="004678D2">
        <w:tab/>
      </w:r>
      <w:r w:rsidR="004B760C" w:rsidRPr="00E218BD">
        <w:t>A gyermekek és fiatalok nem megfelelő védelme a dohányfüsttel szemben</w:t>
      </w:r>
    </w:p>
    <w:p w:rsidR="004B760C" w:rsidRPr="00E218BD" w:rsidRDefault="004B760C">
      <w:pPr>
        <w:autoSpaceDE w:val="0"/>
        <w:autoSpaceDN w:val="0"/>
        <w:adjustRightInd w:val="0"/>
      </w:pPr>
      <w:r w:rsidRPr="00E218BD">
        <w:t xml:space="preserve">A gyermekek és serdülőkorúak dohányfüstnek való kitettsége különös egészségügyi aggályokat vet fel. A gyermekek egyáltalán nem vagy alig tudják szabályozni a felnőtt dohányzók által őket érő dohányfüstnek való kitettséget. A gyermekek emellett különösen veszélyeztetettek a környezeti dohányfüst egészségügyi hatásai szempontjából. A környezeti dohányfüst egészségügyi kockázatai mellett a dohányfüstnek való kitettség hatására a gyermekek nagyobb valószínűséggel fogják a dohányzást mindennapos felnőttkori tevékenységnek tekinteni, és kezdenek el maguk is serdülőkorba érve dohányozni. </w:t>
      </w:r>
    </w:p>
    <w:p w:rsidR="004B760C" w:rsidRPr="00E218BD" w:rsidRDefault="004B760C">
      <w:pPr>
        <w:autoSpaceDE w:val="0"/>
        <w:autoSpaceDN w:val="0"/>
        <w:adjustRightInd w:val="0"/>
      </w:pPr>
      <w:r w:rsidRPr="00E218BD">
        <w:t>A környezeti dohányfüst legnagyobb része a szülők érvén, otthon éri a gyermekeket.</w:t>
      </w:r>
      <w:r w:rsidRPr="00E218BD">
        <w:rPr>
          <w:color w:val="000000"/>
        </w:rPr>
        <w:t xml:space="preserve"> </w:t>
      </w:r>
      <w:r w:rsidRPr="00E218BD">
        <w:t xml:space="preserve">Az Eurobarométer legutóbbi felmérése szerint a dohányzók több mint egy harmada állította, hogy otthon, zárt térben, gyermekek jelenlétében dohányzik. A WHO nemzetközi ifjúsági dohányzásfelmérése (Global Youth Tobacco Study) megállapította, hogy tizenkét uniós tagállamban a serdülőkorúak 40-90%-a ki van téve környezeti dohányfüstnek otthonában. Az otthoni dohányzás mellett a szülők autóban történő dohányzása szintén különösen nagy mértékű környezeti dohányfüstnek való kitettség forrása. </w:t>
      </w:r>
    </w:p>
    <w:p w:rsidR="004B760C" w:rsidRPr="00E218BD" w:rsidRDefault="004B760C">
      <w:pPr>
        <w:autoSpaceDE w:val="0"/>
        <w:autoSpaceDN w:val="0"/>
        <w:adjustRightInd w:val="0"/>
      </w:pPr>
      <w:r w:rsidRPr="00E218BD">
        <w:t>A gyermekek rendszeresen szembesülnek a dohányzással mint felnőttekre jellemző, mindennapos viselkedésmintával nyilvános játszótereken, iskolák, kórházak és egyéb, gyermekek számára szolgáltatást nyújtó intézmények kültéri területein, valamint kültéri sport- és kulturális eseményeken is.</w:t>
      </w:r>
      <w:r w:rsidRPr="00E218BD">
        <w:rPr>
          <w:color w:val="000000"/>
        </w:rPr>
        <w:t xml:space="preserve"> </w:t>
      </w:r>
    </w:p>
    <w:p w:rsidR="004B760C" w:rsidRPr="00E218BD" w:rsidRDefault="004678D2" w:rsidP="004678D2">
      <w:pPr>
        <w:pStyle w:val="ManualHeading1"/>
      </w:pPr>
      <w:r w:rsidRPr="004678D2">
        <w:t>3.</w:t>
      </w:r>
      <w:r w:rsidRPr="004678D2">
        <w:tab/>
      </w:r>
      <w:r w:rsidR="004B760C" w:rsidRPr="00E218BD">
        <w:t>Az uniós fellépés szükségességének indokolása</w:t>
      </w:r>
    </w:p>
    <w:p w:rsidR="004B760C" w:rsidRPr="00E218BD" w:rsidRDefault="004B760C">
      <w:pPr>
        <w:tabs>
          <w:tab w:val="num" w:pos="0"/>
        </w:tabs>
        <w:spacing w:before="0"/>
      </w:pPr>
      <w:r w:rsidRPr="00E218BD">
        <w:t xml:space="preserve">Az EK-Szerződés 137. és 152. cikke egyértelmű jogalapot biztosít uniós intézkedéshez a dohányfüsttel szembeni védelem területén. Az ilyen, uniós szintű támogatás segítené a dohányzás-ellenőrzési keretegyezmény rendelkezéseinek időben történő, egységes végrehajtását, összhangban a tagállamok és az EU nemzetközi kötelezettségvállalásaival. Emellett hozzájárulna a környezeti dohányfüstnek való kitettséggel szembeni védelem </w:t>
      </w:r>
      <w:r w:rsidRPr="00E218BD">
        <w:lastRenderedPageBreak/>
        <w:t xml:space="preserve">szintjében mutatkozó, a különböző tagállamok közötti, illetve azokon belüli különbségek csökkentéséhez, valamint az egészség terén ennek következtében jelentkező egyenlőtlenségek és a határokon átnyúló, kedvezőtlen következmények mérsékléséhez. A közösségi fellépés egyértelmű többletértéket nyújtana a nemzeti erőfeszítésekhez azáltal, hogy tudományos alapot határoz meg, elősegíti a tapasztalatok és bevált gyakorlatok tagállamok közötti cseréjét, továbbá azon tagállamoknak, amelyekben még nem léteznek átfogó dohányzásellenes törvények, útmutatást nyújt ezek kidolgozásához (melyet lehetőség szerint a munkavállalók védelmére vonatkozó uniós minimumelőírások kísérnek), és az EU egészében nyomon követi az előrehaladást. </w:t>
      </w:r>
    </w:p>
    <w:p w:rsidR="004B760C" w:rsidRDefault="004678D2" w:rsidP="004678D2">
      <w:pPr>
        <w:pStyle w:val="ManualHeading1"/>
        <w:rPr>
          <w:noProof/>
        </w:rPr>
      </w:pPr>
      <w:r w:rsidRPr="004678D2">
        <w:t>4.</w:t>
      </w:r>
      <w:r w:rsidRPr="004678D2">
        <w:tab/>
      </w:r>
      <w:r w:rsidR="00727DF3">
        <w:rPr>
          <w:noProof/>
        </w:rPr>
        <w:t>Célkitűzések</w:t>
      </w:r>
    </w:p>
    <w:p w:rsidR="00D4043C" w:rsidRPr="00D4043C" w:rsidRDefault="001534AE" w:rsidP="00D4043C">
      <w:pPr>
        <w:pStyle w:val="Text1"/>
        <w:rPr>
          <w:lang w:eastAsia="de-DE"/>
        </w:rPr>
      </w:pPr>
      <w:r>
        <w:rPr>
          <w:noProof/>
          <w:snapToGrid/>
          <w:lang w:eastAsia="hu-HU"/>
        </w:rPr>
        <w:drawing>
          <wp:inline distT="0" distB="0" distL="0" distR="0">
            <wp:extent cx="5029200" cy="341947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0C" w:rsidRPr="00E218BD" w:rsidRDefault="004678D2" w:rsidP="004678D2">
      <w:pPr>
        <w:pStyle w:val="ManualHeading1"/>
      </w:pPr>
      <w:r w:rsidRPr="004678D2">
        <w:t>5.</w:t>
      </w:r>
      <w:r w:rsidRPr="004678D2">
        <w:tab/>
      </w:r>
      <w:r w:rsidR="004B760C" w:rsidRPr="00E218BD">
        <w:t>Szakpolitikai alternatívák</w:t>
      </w:r>
    </w:p>
    <w:p w:rsidR="004B760C" w:rsidRPr="00E218BD" w:rsidRDefault="004B760C">
      <w:pPr>
        <w:rPr>
          <w:b/>
        </w:rPr>
      </w:pPr>
      <w:r w:rsidRPr="00E218BD">
        <w:rPr>
          <w:b/>
        </w:rPr>
        <w:t>1. A jelenlegi helyzet fenntartása</w:t>
      </w:r>
    </w:p>
    <w:p w:rsidR="004B760C" w:rsidRPr="00E218BD" w:rsidRDefault="004B760C">
      <w:pPr>
        <w:tabs>
          <w:tab w:val="left" w:pos="8160"/>
        </w:tabs>
        <w:autoSpaceDE w:val="0"/>
        <w:autoSpaceDN w:val="0"/>
        <w:adjustRightInd w:val="0"/>
      </w:pPr>
      <w:r w:rsidRPr="00E218BD">
        <w:t>Ez az alternatíva azt jelentené, hogy az EU nem kezd új tevékenységbe, de folytatja a környezeti dohányfüsttel kapcsolatos jelenlegi fellépéseket a különböző közösségi programok, tájékoztató és oktató kampányok, valamint hálózatépítő kezdeményezések keretében.</w:t>
      </w:r>
    </w:p>
    <w:p w:rsidR="004B760C" w:rsidRPr="00E218BD" w:rsidRDefault="004B760C">
      <w:r w:rsidRPr="00E218BD">
        <w:rPr>
          <w:b/>
        </w:rPr>
        <w:t>2. Nyílt koordinációs módszer</w:t>
      </w:r>
      <w:r w:rsidRPr="00E218BD">
        <w:rPr>
          <w:b/>
          <w:smallCaps/>
        </w:rPr>
        <w:t xml:space="preserve"> </w:t>
      </w:r>
    </w:p>
    <w:p w:rsidR="004B760C" w:rsidRPr="00E218BD" w:rsidRDefault="004B760C">
      <w:pPr>
        <w:tabs>
          <w:tab w:val="left" w:pos="8160"/>
        </w:tabs>
        <w:autoSpaceDE w:val="0"/>
        <w:autoSpaceDN w:val="0"/>
        <w:adjustRightInd w:val="0"/>
      </w:pPr>
      <w:r w:rsidRPr="00E218BD">
        <w:t xml:space="preserve">A tagállamokat ezen alternatíva értelmében arra ösztönöznék, hogy működjenek együtt a dohányfüstmentes környezet kérdésében információcsere, a közös célok és mutatók meghatározása, valamint a rendszeres felülvizsgálat érdekében. Ehhez szükség lenne a tagállamok és az Európai Bizottság együttműködését segítő koordináló szerv felállítására. Az alternatíva tartalma a tagállamok közötti megállapodások függvénye lenne, de elméletileg átfogó hatállyal rendelkezne, és túlmutatna a dohányzás-ellenőrzési keretegyezmény </w:t>
      </w:r>
      <w:r w:rsidRPr="00E218BD">
        <w:lastRenderedPageBreak/>
        <w:t>iránymutatásaiban foglaltakon (amely a beltéri nyilvános helyeken és munkahelyeken előforduló környezeti dohányfüst elleni védelemre koncentrál).</w:t>
      </w:r>
    </w:p>
    <w:p w:rsidR="004B760C" w:rsidRPr="00E218BD" w:rsidRDefault="004B760C">
      <w:r w:rsidRPr="00E218BD">
        <w:rPr>
          <w:b/>
        </w:rPr>
        <w:t>3. /4. Bizottsági vagy tanácsi ajánlás</w:t>
      </w:r>
      <w:r w:rsidRPr="00E218BD">
        <w:rPr>
          <w:b/>
          <w:smallCaps/>
        </w:rPr>
        <w:t xml:space="preserve"> </w:t>
      </w:r>
    </w:p>
    <w:p w:rsidR="004B760C" w:rsidRPr="00E218BD" w:rsidRDefault="004B760C">
      <w:pPr>
        <w:tabs>
          <w:tab w:val="left" w:pos="8160"/>
        </w:tabs>
        <w:autoSpaceDE w:val="0"/>
        <w:autoSpaceDN w:val="0"/>
        <w:adjustRightInd w:val="0"/>
      </w:pPr>
      <w:r w:rsidRPr="00E218BD">
        <w:t>A Bizottság vagy a Tanács ajánlása, a 152. cikk alapján, ösztönözné és segítené a tagállamokat átfogó dohányzásellenes politikák kialakításában, összhangban a dohányzás-ellenőrzési keretegyezményben szereplő követelményekkel, egységes uniós végrehajtási határidőt, egyértelmű jelentéstételi és nyomon követési mechanizmust vezetve be. A dohányzás-ellenőrzési keretegyezmény iránymutatásaiban foglalt rendelkezések mellett az ajánlásnak a gyermekek és serdülőkorúak környezeti dohányfüstnek való kitettségére irányuló intézkedéseket, valamint kísérő intézkedéseket is kell tartalmaznia, mint például a tudatosság növelése és a dohányzásról való leszokás támogatása.</w:t>
      </w:r>
    </w:p>
    <w:p w:rsidR="004B760C" w:rsidRPr="00E218BD" w:rsidRDefault="004B760C">
      <w:pPr>
        <w:rPr>
          <w:b/>
        </w:rPr>
      </w:pPr>
      <w:r w:rsidRPr="00E218BD">
        <w:rPr>
          <w:b/>
        </w:rPr>
        <w:t>3+ / 4+ A bizottsági vagy tanácsi ajánlás és a nyílt koordinációs módszer ötvözete</w:t>
      </w:r>
    </w:p>
    <w:p w:rsidR="004B760C" w:rsidRPr="00E218BD" w:rsidRDefault="004B760C">
      <w:pPr>
        <w:spacing w:after="0"/>
      </w:pPr>
      <w:r w:rsidRPr="00E218BD">
        <w:t xml:space="preserve">A Bizottság vagy a Tanács ajánlása ösztönözné a tagállamok közötti együttműködés erősítését. Ebben az esetben az ajánlás szövege alapként és hivatkozási pontként szolgálna, a tagállamok pedig információkat és bevált gyakorlatokat oszthatnának meg egymással az ajánlás végrehajtásáról, közös célokat és teljesítménymérő referenciaértékeket határoznának meg a követelmények teljesítésére és lehetőség szerint azokon túlmenően, továbbá közös mutatókat dolgoznának ki az előrehaladás nyomon követésére. </w:t>
      </w:r>
    </w:p>
    <w:p w:rsidR="004B760C" w:rsidRPr="00E218BD" w:rsidRDefault="004B760C">
      <w:r w:rsidRPr="00E218BD">
        <w:rPr>
          <w:b/>
        </w:rPr>
        <w:t>5. Kötelező erejű jogszabályok</w:t>
      </w:r>
      <w:r w:rsidRPr="00E218BD">
        <w:rPr>
          <w:b/>
          <w:smallCaps/>
        </w:rPr>
        <w:t xml:space="preserve"> </w:t>
      </w:r>
    </w:p>
    <w:p w:rsidR="004B760C" w:rsidRPr="00E218BD" w:rsidRDefault="004B760C">
      <w:pPr>
        <w:spacing w:after="0"/>
      </w:pPr>
      <w:r w:rsidRPr="00E218BD">
        <w:t xml:space="preserve">Kötelező erejű jogszabályok elfogadása a meglévő, az egészséggel és biztonsággal foglalkozó irányelvek (különösen a munkahelyi biztonsági és egészségvédelmi minimumkövetelményekről szóló 89/654/EGK irányelv, és/vagy a rákkeltő anyagokról és mutagénekről szóló 2004/37/EK irányelv) felülvizsgálatával, vagy a 137. cikk alapján a munkahelyi dohányzásról szóló, külön irányelv hatályba léptetésével járhatna. Ez az alternatíva hatályában a munkahelyi környezetre korlátozódna, és nem vonatkozna azokra a nyilvános helyekre, amelyek nem minősülnek munkahelynek, sem pedig az önálló vállalkozókra. </w:t>
      </w:r>
    </w:p>
    <w:p w:rsidR="004B760C" w:rsidRPr="00E218BD" w:rsidRDefault="004678D2" w:rsidP="004678D2">
      <w:pPr>
        <w:pStyle w:val="ManualHeading1"/>
      </w:pPr>
      <w:r w:rsidRPr="004678D2">
        <w:t>6.</w:t>
      </w:r>
      <w:r w:rsidRPr="004678D2">
        <w:tab/>
      </w:r>
      <w:r w:rsidR="004B760C" w:rsidRPr="00E218BD">
        <w:t>A lehetőségek vizsgálata</w:t>
      </w:r>
    </w:p>
    <w:p w:rsidR="004B760C" w:rsidRPr="00E218BD" w:rsidRDefault="004B760C">
      <w:pPr>
        <w:spacing w:after="0"/>
      </w:pPr>
      <w:r w:rsidRPr="00E218BD">
        <w:t xml:space="preserve">A megállapított szakpolitikai alternatívákat öt fő paraméter alapján vizsgálták: az EU részvétele jelentette többletérték, az adott politikai eszköz elfogadásának várható gyorsasága, a politikai lehetőség valószínűsíthető tartalma, a tagállamra a megfelelés szempontjából vonatkozó politikai vagy jogi kötelezettség szintje, valamint esetleges nem kívánt következmények. E minőségi elemzés, valamint a tagállamokban előre jelzett fejlemények alapján az alábbi feltételezések tehetők arról, hogy az egyes szakpolitikai lehetőségek milyen hatékonysággal csökkentenék a környezeti dohányfüst előfordulását 2013-ig (a jelenlegi egészségügyi stratégia utolsó éve): </w:t>
      </w:r>
    </w:p>
    <w:p w:rsidR="004B760C" w:rsidRPr="00E218BD" w:rsidRDefault="004B760C">
      <w:pPr>
        <w:spacing w:after="0"/>
      </w:pPr>
      <w:r w:rsidRPr="00E218BD">
        <w:t xml:space="preserve">Az 1. számú szakpolitikai lehetőség (a jelenlegi helyzet fenntartása) csökkentené legkevésbé a környezeti dohányfüst előfordulási arányát; ez a lehetőség többé-kevésbé azt jelentené, hogy a dohányzásellenes törvények terén jelentős vagy viszonylagos haladást elért országokban a javasolt szakpolitikák végrehajtása 2013-ra megtörténne. A jelenlegi, a dohányfüst egyre nagyobb mértékű kiküszöbölésére irányuló tendencia várhatóan folytatódna, azonban lassabb ütemben. </w:t>
      </w:r>
    </w:p>
    <w:p w:rsidR="004B760C" w:rsidRPr="00E218BD" w:rsidRDefault="004B760C">
      <w:r w:rsidRPr="00E218BD">
        <w:lastRenderedPageBreak/>
        <w:t>Az öt, nem szabályozó jellegű lehetőség által várhatóan viszonylag hasonló hatás lenne elérhető, mivel mindegyik keretében támogatást ajánlanának fel szakpolitika kialakítására, azonban a tagállamokat nem kötelezhetnék dohányzásellenes törvények elfogadására és végrehajtására. A jelenlegi helyzethez viszonyítva várhatóan felére-negyedére csökkenhetne a környezeti dohányfüst előfordulási aránya. A 2. (nyílt koordinációs módszer) és a 3. (bizottsági ajánlás) alternatíva bizonyulna valószínűleg a legkevésbé hatékonynak a nem szabályozó jellegű lehetőségek közül. A nyílt koordinációs módszer végrehajtása viszonylag hosszadalmas lenne, és nem tűnik megfelelőnek olyan régóta fennálló probléma kezeléséhez, mint a környezeti dohányfüst. Egy bizottsági ajánlás hatása ugyanakkor korlátozott lenne, mivel a tagállamokat nem késztetné elkötelezettségre. A 4. alternatíva (tanácsi ajánlás) potenciálisan hatékonyabb, elsősorban azért, mert a tagállamokat felelősségvállalásra ösztönözné. A 3+. alternatíva (bizottsági ajánlás és nyílt koordinációs módszer) várhatóan hasonló hatással járna. A 4+. alternatíva (tanácsi ajánlás és nyílt koordinációs módszer) lenne várhatóan a leghatékonyabb a nem szabályozó jellegű lehetőségek közül. Ez a lehetőség erősítené meg leginkább a tagállamok felelősségvállalását, amelyek mind az ajánlás szövegének elfogadásában, mind a végrehajtásához szükséges teljesítményértékelő referenciaértékek és mutatók kidolgozásában szerepet vállalnának.</w:t>
      </w:r>
    </w:p>
    <w:p w:rsidR="004B760C" w:rsidRPr="00E218BD" w:rsidRDefault="004B760C">
      <w:r w:rsidRPr="00E218BD">
        <w:t xml:space="preserve">Valószínűleg az 5. lehetőség (kötelező erejű jogszabály) hozná a legnagyobb eredményeket a környezeti dohányfüst csökkentése terén. A legkedvezőbb esetben ezzel az alternatívával tulajdonképpen az EU egészében fel lehetne számolni a munkahelyi dohányfüstöt. Hatálya azonban korlátozottabb lenne, mint a nem szabályozó alternatíváké, mivel az önálló vállalkozók, valamint a kísérő intézkedések nem szerepelnének a jogszabályban. Emellett az új jogi eszközből származó előnyök csak viszonylag hosszabb távon mutatkoznának meg. </w:t>
      </w:r>
    </w:p>
    <w:p w:rsidR="004B760C" w:rsidRPr="000D1138" w:rsidRDefault="004678D2" w:rsidP="004678D2">
      <w:pPr>
        <w:pStyle w:val="ManualHeading2"/>
      </w:pPr>
      <w:r w:rsidRPr="004678D2">
        <w:t>6.1.</w:t>
      </w:r>
      <w:r w:rsidRPr="004678D2">
        <w:tab/>
      </w:r>
      <w:r w:rsidR="004B760C" w:rsidRPr="000D1138">
        <w:t>A megoldási lehetőségek összehasonlítása</w:t>
      </w:r>
    </w:p>
    <w:p w:rsidR="004B760C" w:rsidRPr="00E218BD" w:rsidRDefault="004B760C">
      <w:r w:rsidRPr="00E218BD">
        <w:t xml:space="preserve">Az egyes szakpolitikai alternatívákhoz tartozó, várható társadalmi, gazdasági és környezeti hatásokat a környezeti dohányfüstnek való kitettség csökkentésére irányuló potenciáljukra vonatkozó feltételezések alapján értékelték. Ennek következtében valószínűleg az 5. alternatíva (kötelező erejű jogszabály) járna a legnagyobb hatással; a második leghatékonyabb a 4+. lehetőség lenne (tanácsi ajánlás és nyílt koordinációs módszer), ezt követné a 4/3+. (tanácsi ajánlás /bizottsági ajánlás és nyílt koordinációs módszer), a 2/3. lehetőség (nyílt koordinációs módszer/ bizottsági ajánlás), míg a jelenlegi helyzet fenntartása hozná a legkevesebb változást. </w:t>
      </w:r>
    </w:p>
    <w:p w:rsidR="004B760C" w:rsidRPr="00E218BD" w:rsidRDefault="004678D2" w:rsidP="004678D2">
      <w:pPr>
        <w:pStyle w:val="ManualHeading3"/>
      </w:pPr>
      <w:r w:rsidRPr="004678D2">
        <w:t>6.1.1.</w:t>
      </w:r>
      <w:r w:rsidRPr="004678D2">
        <w:tab/>
      </w:r>
      <w:r w:rsidR="004B760C" w:rsidRPr="00E218BD">
        <w:t>Társadalmi hatások</w:t>
      </w:r>
    </w:p>
    <w:p w:rsidR="004B760C" w:rsidRPr="00E218BD" w:rsidRDefault="004B760C">
      <w:pPr>
        <w:widowControl w:val="0"/>
      </w:pPr>
      <w:r w:rsidRPr="00E218BD">
        <w:t>Az uniós kezdeményezés a környezeti dohányfüstnek való kitettség csökkentésével várhatóan mérsékli a környezeti dohányfüsttel összefüggő súlyos betegségekből (tüdőrák, stroke, szívbetegségek, krónikus alsó légúti megbetegedések) származó megbetegedések és halálozások arányát. A dohányfogyasztás csökkentésével és a leszokás ösztönzésével a dohányzók körében várhatóan közvetett hatást gyakorol majd az aktív dohányzással összefüggő morbiditásra és halálozásokra is. Az uniós kezdeményezés valószínűleg a társadalom legkiszolgáltatottabb helyzetben lévő csoportjai számára járna különös előnyökkel. Emellett hozzájárulna a dohányzásellenes politikák támogatásának erősödéséhez, beleértve az otthoni dohányzás kérdését is. A dohányzók számára lehetséges, nem kívánt következmény a megbélyegzés és elidegenedés.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8"/>
        <w:gridCol w:w="976"/>
        <w:gridCol w:w="923"/>
        <w:gridCol w:w="967"/>
        <w:gridCol w:w="1111"/>
        <w:gridCol w:w="1015"/>
        <w:gridCol w:w="923"/>
      </w:tblGrid>
      <w:tr w:rsidR="004B760C" w:rsidRPr="00E218BD">
        <w:trPr>
          <w:trHeight w:val="409"/>
        </w:trPr>
        <w:tc>
          <w:tcPr>
            <w:tcW w:w="3268" w:type="dxa"/>
            <w:shd w:val="clear" w:color="auto" w:fill="F3F3F3"/>
          </w:tcPr>
          <w:p w:rsidR="004B760C" w:rsidRPr="00E218BD" w:rsidRDefault="004B760C">
            <w:pPr>
              <w:spacing w:before="0" w:after="0"/>
              <w:rPr>
                <w:rFonts w:ascii="Arial" w:hAnsi="Arial"/>
                <w:sz w:val="18"/>
              </w:rPr>
            </w:pPr>
          </w:p>
        </w:tc>
        <w:tc>
          <w:tcPr>
            <w:tcW w:w="976" w:type="dxa"/>
            <w:shd w:val="clear" w:color="auto" w:fill="F3F3F3"/>
          </w:tcPr>
          <w:p w:rsidR="004B760C" w:rsidRPr="00E218BD" w:rsidRDefault="004B760C">
            <w:pPr>
              <w:spacing w:before="0" w:after="0"/>
            </w:pPr>
            <w:r w:rsidRPr="00E218BD">
              <w:rPr>
                <w:rFonts w:ascii="Arial" w:hAnsi="Arial"/>
                <w:b/>
                <w:sz w:val="18"/>
              </w:rPr>
              <w:t>Kiindulás</w:t>
            </w:r>
          </w:p>
        </w:tc>
        <w:tc>
          <w:tcPr>
            <w:tcW w:w="923" w:type="dxa"/>
            <w:shd w:val="clear" w:color="auto" w:fill="F3F3F3"/>
          </w:tcPr>
          <w:p w:rsidR="004B760C" w:rsidRPr="00E218BD" w:rsidRDefault="004B760C">
            <w:pPr>
              <w:spacing w:before="0" w:after="0"/>
            </w:pPr>
            <w:r w:rsidRPr="00E218BD">
              <w:rPr>
                <w:rFonts w:ascii="Arial" w:hAnsi="Arial"/>
                <w:b/>
                <w:sz w:val="18"/>
              </w:rPr>
              <w:t>1. szakpolitikai alternatí</w:t>
            </w:r>
            <w:r w:rsidRPr="00E218BD">
              <w:rPr>
                <w:rFonts w:ascii="Arial" w:hAnsi="Arial"/>
                <w:b/>
                <w:sz w:val="18"/>
              </w:rPr>
              <w:lastRenderedPageBreak/>
              <w:t>va</w:t>
            </w:r>
          </w:p>
        </w:tc>
        <w:tc>
          <w:tcPr>
            <w:tcW w:w="967" w:type="dxa"/>
            <w:shd w:val="clear" w:color="auto" w:fill="F3F3F3"/>
          </w:tcPr>
          <w:p w:rsidR="004B760C" w:rsidRPr="00E218BD" w:rsidRDefault="004B760C">
            <w:pPr>
              <w:spacing w:before="0" w:after="0"/>
              <w:rPr>
                <w:rFonts w:ascii="Arial" w:hAnsi="Arial"/>
                <w:b/>
                <w:sz w:val="18"/>
              </w:rPr>
            </w:pPr>
            <w:r w:rsidRPr="00E218BD">
              <w:rPr>
                <w:rFonts w:ascii="Arial" w:hAnsi="Arial"/>
                <w:b/>
                <w:sz w:val="18"/>
              </w:rPr>
              <w:lastRenderedPageBreak/>
              <w:t>2. szakpolitikai alternatí</w:t>
            </w:r>
            <w:r w:rsidRPr="00E218BD">
              <w:rPr>
                <w:rFonts w:ascii="Arial" w:hAnsi="Arial"/>
                <w:b/>
                <w:sz w:val="18"/>
              </w:rPr>
              <w:lastRenderedPageBreak/>
              <w:t>va/</w:t>
            </w:r>
          </w:p>
          <w:p w:rsidR="004B760C" w:rsidRPr="00E218BD" w:rsidRDefault="004B760C">
            <w:pPr>
              <w:spacing w:before="0" w:after="0"/>
            </w:pPr>
            <w:r w:rsidRPr="00E218BD">
              <w:rPr>
                <w:rFonts w:ascii="Arial" w:hAnsi="Arial"/>
                <w:b/>
                <w:sz w:val="18"/>
              </w:rPr>
              <w:t>3. szakpolitikai alternatíva</w:t>
            </w:r>
          </w:p>
        </w:tc>
        <w:tc>
          <w:tcPr>
            <w:tcW w:w="1111" w:type="dxa"/>
            <w:shd w:val="clear" w:color="auto" w:fill="F3F3F3"/>
          </w:tcPr>
          <w:p w:rsidR="004B760C" w:rsidRPr="00E218BD" w:rsidRDefault="004B760C">
            <w:pPr>
              <w:spacing w:before="0" w:after="0"/>
              <w:rPr>
                <w:rFonts w:ascii="Arial" w:hAnsi="Arial"/>
                <w:b/>
                <w:sz w:val="18"/>
              </w:rPr>
            </w:pPr>
            <w:r w:rsidRPr="00E218BD">
              <w:rPr>
                <w:rFonts w:ascii="Arial" w:hAnsi="Arial"/>
                <w:b/>
                <w:sz w:val="18"/>
              </w:rPr>
              <w:lastRenderedPageBreak/>
              <w:t>3+. szakpolitikai alternatív</w:t>
            </w:r>
            <w:r w:rsidRPr="00E218BD">
              <w:rPr>
                <w:rFonts w:ascii="Arial" w:hAnsi="Arial"/>
                <w:b/>
                <w:sz w:val="18"/>
              </w:rPr>
              <w:lastRenderedPageBreak/>
              <w:t>a/</w:t>
            </w:r>
          </w:p>
          <w:p w:rsidR="004B760C" w:rsidRPr="00E218BD" w:rsidRDefault="004B760C">
            <w:pPr>
              <w:spacing w:before="0" w:after="0"/>
            </w:pPr>
            <w:r w:rsidRPr="00E218BD">
              <w:rPr>
                <w:rFonts w:ascii="Arial" w:hAnsi="Arial"/>
                <w:b/>
                <w:sz w:val="18"/>
              </w:rPr>
              <w:t>4. szakpolitikai alternatíva</w:t>
            </w:r>
          </w:p>
        </w:tc>
        <w:tc>
          <w:tcPr>
            <w:tcW w:w="1015" w:type="dxa"/>
            <w:shd w:val="clear" w:color="auto" w:fill="F3F3F3"/>
          </w:tcPr>
          <w:p w:rsidR="004B760C" w:rsidRPr="00E218BD" w:rsidRDefault="004B760C">
            <w:pPr>
              <w:spacing w:before="0" w:after="0"/>
            </w:pPr>
            <w:r w:rsidRPr="00E218BD">
              <w:rPr>
                <w:rFonts w:ascii="Arial" w:hAnsi="Arial"/>
                <w:b/>
                <w:sz w:val="18"/>
              </w:rPr>
              <w:lastRenderedPageBreak/>
              <w:t>4+. szakpolitikai alternatí</w:t>
            </w:r>
            <w:r w:rsidRPr="00E218BD">
              <w:rPr>
                <w:rFonts w:ascii="Arial" w:hAnsi="Arial"/>
                <w:b/>
                <w:sz w:val="18"/>
              </w:rPr>
              <w:lastRenderedPageBreak/>
              <w:t>va/</w:t>
            </w:r>
          </w:p>
        </w:tc>
        <w:tc>
          <w:tcPr>
            <w:tcW w:w="923" w:type="dxa"/>
            <w:shd w:val="clear" w:color="auto" w:fill="F3F3F3"/>
          </w:tcPr>
          <w:p w:rsidR="004B760C" w:rsidRPr="00E218BD" w:rsidRDefault="004B760C">
            <w:pPr>
              <w:spacing w:before="0" w:after="0"/>
            </w:pPr>
            <w:r w:rsidRPr="00E218BD">
              <w:rPr>
                <w:rFonts w:ascii="Arial" w:hAnsi="Arial"/>
                <w:b/>
                <w:sz w:val="18"/>
              </w:rPr>
              <w:lastRenderedPageBreak/>
              <w:t>5. szakpolitikai alternatí</w:t>
            </w:r>
            <w:r w:rsidRPr="00E218BD">
              <w:rPr>
                <w:rFonts w:ascii="Arial" w:hAnsi="Arial"/>
                <w:b/>
                <w:sz w:val="18"/>
              </w:rPr>
              <w:lastRenderedPageBreak/>
              <w:t>va</w:t>
            </w:r>
          </w:p>
        </w:tc>
      </w:tr>
      <w:tr w:rsidR="004B760C" w:rsidRPr="00E218BD">
        <w:tc>
          <w:tcPr>
            <w:tcW w:w="9183" w:type="dxa"/>
            <w:gridSpan w:val="7"/>
            <w:shd w:val="clear" w:color="auto" w:fill="E6E6E6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b/>
                <w:i/>
                <w:sz w:val="18"/>
              </w:rPr>
              <w:lastRenderedPageBreak/>
              <w:t>Társadalmi hatások</w:t>
            </w:r>
          </w:p>
        </w:tc>
      </w:tr>
      <w:tr w:rsidR="004B760C" w:rsidRPr="00E218BD">
        <w:tc>
          <w:tcPr>
            <w:tcW w:w="3268" w:type="dxa"/>
            <w:shd w:val="clear" w:color="auto" w:fill="F3F3F3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sz w:val="18"/>
              </w:rPr>
              <w:t xml:space="preserve">A környezeti dohányfüstnek való kitettségből eredő éves halálozások számának csökkenése az alkalmazottak körében </w:t>
            </w:r>
          </w:p>
        </w:tc>
        <w:tc>
          <w:tcPr>
            <w:tcW w:w="976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 xml:space="preserve">6 007 </w:t>
            </w:r>
          </w:p>
        </w:tc>
        <w:tc>
          <w:tcPr>
            <w:tcW w:w="923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-386</w:t>
            </w:r>
          </w:p>
        </w:tc>
        <w:tc>
          <w:tcPr>
            <w:tcW w:w="967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-774</w:t>
            </w:r>
          </w:p>
        </w:tc>
        <w:tc>
          <w:tcPr>
            <w:tcW w:w="1111" w:type="dxa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noProof/>
                <w:sz w:val="18"/>
              </w:rPr>
              <w:t>-774-ről -1 550-re</w:t>
            </w:r>
          </w:p>
        </w:tc>
        <w:tc>
          <w:tcPr>
            <w:tcW w:w="1015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-1 550</w:t>
            </w:r>
          </w:p>
        </w:tc>
        <w:tc>
          <w:tcPr>
            <w:tcW w:w="923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-4 884</w:t>
            </w:r>
          </w:p>
        </w:tc>
      </w:tr>
      <w:tr w:rsidR="004B760C" w:rsidRPr="00E218BD">
        <w:tc>
          <w:tcPr>
            <w:tcW w:w="3268" w:type="dxa"/>
            <w:shd w:val="clear" w:color="auto" w:fill="F3F3F3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sz w:val="18"/>
              </w:rPr>
              <w:t>A környezeti dohányfüstnek való kitettségből eredő morbiditás csökkenése</w:t>
            </w:r>
          </w:p>
        </w:tc>
        <w:tc>
          <w:tcPr>
            <w:tcW w:w="976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23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</w:t>
            </w:r>
          </w:p>
        </w:tc>
        <w:tc>
          <w:tcPr>
            <w:tcW w:w="967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</w:t>
            </w:r>
          </w:p>
        </w:tc>
        <w:tc>
          <w:tcPr>
            <w:tcW w:w="1111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</w:t>
            </w:r>
          </w:p>
        </w:tc>
        <w:tc>
          <w:tcPr>
            <w:tcW w:w="1015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++++</w:t>
            </w:r>
          </w:p>
        </w:tc>
        <w:tc>
          <w:tcPr>
            <w:tcW w:w="923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+++++</w:t>
            </w:r>
          </w:p>
        </w:tc>
      </w:tr>
      <w:tr w:rsidR="004B760C" w:rsidRPr="00E218BD">
        <w:tc>
          <w:tcPr>
            <w:tcW w:w="3268" w:type="dxa"/>
            <w:shd w:val="clear" w:color="auto" w:fill="F3F3F3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sz w:val="18"/>
              </w:rPr>
              <w:t>A halálozások számának csökkenése a kisebb arányú aktív dohányzás következtében</w:t>
            </w:r>
          </w:p>
        </w:tc>
        <w:tc>
          <w:tcPr>
            <w:tcW w:w="976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23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</w:t>
            </w:r>
          </w:p>
        </w:tc>
        <w:tc>
          <w:tcPr>
            <w:tcW w:w="967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</w:t>
            </w:r>
          </w:p>
        </w:tc>
        <w:tc>
          <w:tcPr>
            <w:tcW w:w="1111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</w:t>
            </w:r>
          </w:p>
        </w:tc>
        <w:tc>
          <w:tcPr>
            <w:tcW w:w="1015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++++</w:t>
            </w:r>
          </w:p>
        </w:tc>
        <w:tc>
          <w:tcPr>
            <w:tcW w:w="923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+++++</w:t>
            </w:r>
          </w:p>
        </w:tc>
      </w:tr>
      <w:tr w:rsidR="004B760C" w:rsidRPr="00E218BD">
        <w:tc>
          <w:tcPr>
            <w:tcW w:w="3268" w:type="dxa"/>
            <w:shd w:val="clear" w:color="auto" w:fill="F3F3F3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sz w:val="18"/>
              </w:rPr>
              <w:t>A morbiditás csökkenése a kisebb arányú aktív dohányzás következtében</w:t>
            </w:r>
          </w:p>
        </w:tc>
        <w:tc>
          <w:tcPr>
            <w:tcW w:w="976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23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</w:t>
            </w:r>
          </w:p>
        </w:tc>
        <w:tc>
          <w:tcPr>
            <w:tcW w:w="967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</w:t>
            </w:r>
          </w:p>
        </w:tc>
        <w:tc>
          <w:tcPr>
            <w:tcW w:w="1111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</w:t>
            </w:r>
          </w:p>
        </w:tc>
        <w:tc>
          <w:tcPr>
            <w:tcW w:w="1015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++++</w:t>
            </w:r>
          </w:p>
        </w:tc>
        <w:tc>
          <w:tcPr>
            <w:tcW w:w="923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+++++</w:t>
            </w:r>
          </w:p>
        </w:tc>
      </w:tr>
      <w:tr w:rsidR="004B760C" w:rsidRPr="00E218BD">
        <w:tc>
          <w:tcPr>
            <w:tcW w:w="3268" w:type="dxa"/>
            <w:shd w:val="clear" w:color="auto" w:fill="F3F3F3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sz w:val="18"/>
              </w:rPr>
              <w:t>A környezeti dohányfüstnek való otthoni kitettség arányának csökkenése</w:t>
            </w:r>
          </w:p>
        </w:tc>
        <w:tc>
          <w:tcPr>
            <w:tcW w:w="976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23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</w:t>
            </w:r>
          </w:p>
        </w:tc>
        <w:tc>
          <w:tcPr>
            <w:tcW w:w="967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</w:t>
            </w:r>
          </w:p>
        </w:tc>
        <w:tc>
          <w:tcPr>
            <w:tcW w:w="1111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</w:t>
            </w:r>
          </w:p>
        </w:tc>
        <w:tc>
          <w:tcPr>
            <w:tcW w:w="1015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</w:t>
            </w:r>
          </w:p>
        </w:tc>
        <w:tc>
          <w:tcPr>
            <w:tcW w:w="923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</w:t>
            </w:r>
          </w:p>
        </w:tc>
      </w:tr>
      <w:tr w:rsidR="004B760C" w:rsidRPr="00E218BD">
        <w:tc>
          <w:tcPr>
            <w:tcW w:w="3268" w:type="dxa"/>
            <w:shd w:val="clear" w:color="auto" w:fill="F3F3F3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sz w:val="18"/>
              </w:rPr>
              <w:t>A társadalmi-gazdasági egyenlőtlenségek csökkenése</w:t>
            </w:r>
          </w:p>
        </w:tc>
        <w:tc>
          <w:tcPr>
            <w:tcW w:w="976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23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</w:t>
            </w:r>
          </w:p>
        </w:tc>
        <w:tc>
          <w:tcPr>
            <w:tcW w:w="967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</w:t>
            </w:r>
          </w:p>
        </w:tc>
        <w:tc>
          <w:tcPr>
            <w:tcW w:w="1111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</w:t>
            </w:r>
          </w:p>
        </w:tc>
        <w:tc>
          <w:tcPr>
            <w:tcW w:w="1015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</w:t>
            </w:r>
          </w:p>
        </w:tc>
        <w:tc>
          <w:tcPr>
            <w:tcW w:w="923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++++</w:t>
            </w:r>
          </w:p>
        </w:tc>
      </w:tr>
      <w:tr w:rsidR="004B760C" w:rsidRPr="00E218BD">
        <w:tc>
          <w:tcPr>
            <w:tcW w:w="3268" w:type="dxa"/>
            <w:shd w:val="clear" w:color="auto" w:fill="F3F3F3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sz w:val="18"/>
              </w:rPr>
              <w:t>A dohányzásellenes jogszabályok támogatottságának erősödése</w:t>
            </w:r>
          </w:p>
        </w:tc>
        <w:tc>
          <w:tcPr>
            <w:tcW w:w="976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23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</w:t>
            </w:r>
          </w:p>
        </w:tc>
        <w:tc>
          <w:tcPr>
            <w:tcW w:w="967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</w:t>
            </w:r>
          </w:p>
        </w:tc>
        <w:tc>
          <w:tcPr>
            <w:tcW w:w="1111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</w:t>
            </w:r>
          </w:p>
        </w:tc>
        <w:tc>
          <w:tcPr>
            <w:tcW w:w="1015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</w:t>
            </w:r>
          </w:p>
        </w:tc>
        <w:tc>
          <w:tcPr>
            <w:tcW w:w="923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++++</w:t>
            </w:r>
          </w:p>
        </w:tc>
      </w:tr>
    </w:tbl>
    <w:p w:rsidR="004B760C" w:rsidRPr="00E218BD" w:rsidRDefault="004678D2" w:rsidP="004678D2">
      <w:pPr>
        <w:pStyle w:val="ManualHeading3"/>
      </w:pPr>
      <w:r w:rsidRPr="004678D2">
        <w:t>6.1.2.</w:t>
      </w:r>
      <w:r w:rsidRPr="004678D2">
        <w:tab/>
      </w:r>
      <w:r w:rsidR="004B760C" w:rsidRPr="00E218BD">
        <w:t>Gazdasági hatások</w:t>
      </w:r>
    </w:p>
    <w:p w:rsidR="004B760C" w:rsidRPr="00E218BD" w:rsidRDefault="004B760C">
      <w:r w:rsidRPr="00E218BD">
        <w:t xml:space="preserve">Makrogazdasági szinten az uniós kezdeményezésből származó, az egészségi állapotban bekövetkező javulás várhatóan jelentősen csökkenti a környezeti dohányfüsttel összefüggő súlyos betegségekkel kapcsolatos egészségügyi és nem egészségügyi jellegű költségeket. Nem valószínű, hogy az aktív dohányzás szintjének várható csökkenése jelentős hatást gyakorolna a tagállamoknak a dohánytermékek adójából származó bevételeire. A mikrogazdaság szintjén jelentkező gazdasági hatások közé a tisztítással, karbantartással és felújítással kapcsolatos költségek csökkenése, valamint a tűzkárral kapcsolatos költségek csökkenése tartozik. </w:t>
      </w:r>
    </w:p>
    <w:p w:rsidR="004B760C" w:rsidRPr="00E218BD" w:rsidRDefault="004B760C">
      <w:r w:rsidRPr="00E218BD">
        <w:t xml:space="preserve">A leginkább érintett ágazatok a vendéglátóipar és a dohányipar. A szakirodalomban szereplő adatok alapján a vendéglátóiparban a foglalkoztatásra és a bevételekre gyakorolt hatások között csökkenés és a növekedés egyaránt előfordulhat. Összességében nem várható jelentős gazdasági hatás. A dohányiparban nyereségvisszaesés következhet be, és ezzel összefüggésben a dohányiparhoz kapcsolódó foglalkoztatás területén is csökkenés jelentkezhet. 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1080"/>
        <w:gridCol w:w="1080"/>
        <w:gridCol w:w="600"/>
        <w:gridCol w:w="600"/>
        <w:gridCol w:w="605"/>
        <w:gridCol w:w="605"/>
        <w:gridCol w:w="1207"/>
        <w:gridCol w:w="1320"/>
      </w:tblGrid>
      <w:tr w:rsidR="004B760C" w:rsidRPr="00E218BD">
        <w:trPr>
          <w:trHeight w:val="409"/>
        </w:trPr>
        <w:tc>
          <w:tcPr>
            <w:tcW w:w="2760" w:type="dxa"/>
            <w:shd w:val="clear" w:color="auto" w:fill="F3F3F3"/>
          </w:tcPr>
          <w:p w:rsidR="004B760C" w:rsidRPr="00E218BD" w:rsidRDefault="004B760C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F3F3F3"/>
          </w:tcPr>
          <w:p w:rsidR="004B760C" w:rsidRPr="00E218BD" w:rsidRDefault="004B760C">
            <w:pPr>
              <w:spacing w:before="0" w:after="0"/>
            </w:pPr>
            <w:r w:rsidRPr="00E218BD">
              <w:rPr>
                <w:rFonts w:ascii="Arial" w:hAnsi="Arial"/>
                <w:b/>
                <w:sz w:val="18"/>
              </w:rPr>
              <w:t>Kiindulás</w:t>
            </w:r>
          </w:p>
        </w:tc>
        <w:tc>
          <w:tcPr>
            <w:tcW w:w="1080" w:type="dxa"/>
            <w:shd w:val="clear" w:color="auto" w:fill="F3F3F3"/>
          </w:tcPr>
          <w:p w:rsidR="004B760C" w:rsidRPr="00E218BD" w:rsidRDefault="004B760C">
            <w:pPr>
              <w:spacing w:before="0" w:after="0"/>
            </w:pPr>
            <w:r w:rsidRPr="00E218BD">
              <w:rPr>
                <w:rFonts w:ascii="Arial" w:hAnsi="Arial"/>
                <w:b/>
                <w:sz w:val="18"/>
              </w:rPr>
              <w:t>1. szakpolitikai alternatíva</w:t>
            </w:r>
          </w:p>
        </w:tc>
        <w:tc>
          <w:tcPr>
            <w:tcW w:w="1200" w:type="dxa"/>
            <w:gridSpan w:val="2"/>
            <w:shd w:val="clear" w:color="auto" w:fill="F3F3F3"/>
          </w:tcPr>
          <w:p w:rsidR="004B760C" w:rsidRPr="00E218BD" w:rsidRDefault="004B760C">
            <w:pPr>
              <w:spacing w:before="0" w:after="0"/>
              <w:rPr>
                <w:rFonts w:ascii="Arial" w:hAnsi="Arial"/>
                <w:b/>
                <w:sz w:val="18"/>
              </w:rPr>
            </w:pPr>
            <w:r w:rsidRPr="00E218BD">
              <w:rPr>
                <w:rFonts w:ascii="Arial" w:hAnsi="Arial"/>
                <w:b/>
                <w:sz w:val="18"/>
              </w:rPr>
              <w:t>2. szakpolitikai alternatíva/</w:t>
            </w:r>
          </w:p>
          <w:p w:rsidR="004B760C" w:rsidRPr="00E218BD" w:rsidRDefault="004B760C">
            <w:pPr>
              <w:spacing w:before="0" w:after="0"/>
            </w:pPr>
            <w:r w:rsidRPr="00E218BD">
              <w:rPr>
                <w:rFonts w:ascii="Arial" w:hAnsi="Arial"/>
                <w:b/>
                <w:sz w:val="18"/>
              </w:rPr>
              <w:t>3. szakpolitikai alternatíva</w:t>
            </w:r>
          </w:p>
        </w:tc>
        <w:tc>
          <w:tcPr>
            <w:tcW w:w="1210" w:type="dxa"/>
            <w:gridSpan w:val="2"/>
            <w:shd w:val="clear" w:color="auto" w:fill="F3F3F3"/>
          </w:tcPr>
          <w:p w:rsidR="004B760C" w:rsidRPr="00E218BD" w:rsidRDefault="004B760C">
            <w:pPr>
              <w:spacing w:before="0" w:after="0"/>
              <w:rPr>
                <w:rFonts w:ascii="Arial" w:hAnsi="Arial"/>
                <w:b/>
                <w:sz w:val="18"/>
              </w:rPr>
            </w:pPr>
            <w:r w:rsidRPr="00E218BD">
              <w:rPr>
                <w:rFonts w:ascii="Arial" w:hAnsi="Arial"/>
                <w:b/>
                <w:sz w:val="18"/>
              </w:rPr>
              <w:t>3+. szakpolitikai alternatíva/</w:t>
            </w:r>
          </w:p>
          <w:p w:rsidR="004B760C" w:rsidRPr="00E218BD" w:rsidRDefault="004B760C">
            <w:pPr>
              <w:spacing w:before="0" w:after="0"/>
            </w:pPr>
            <w:r w:rsidRPr="00E218BD">
              <w:rPr>
                <w:rFonts w:ascii="Arial" w:hAnsi="Arial"/>
                <w:b/>
                <w:sz w:val="18"/>
              </w:rPr>
              <w:t>4. szakpolitikai alternatíva</w:t>
            </w:r>
          </w:p>
        </w:tc>
        <w:tc>
          <w:tcPr>
            <w:tcW w:w="1207" w:type="dxa"/>
            <w:shd w:val="clear" w:color="auto" w:fill="F3F3F3"/>
          </w:tcPr>
          <w:p w:rsidR="004B760C" w:rsidRPr="00E218BD" w:rsidRDefault="004B760C">
            <w:pPr>
              <w:spacing w:before="0" w:after="0"/>
            </w:pPr>
            <w:r w:rsidRPr="00E218BD">
              <w:rPr>
                <w:rFonts w:ascii="Arial" w:hAnsi="Arial"/>
                <w:b/>
                <w:sz w:val="18"/>
              </w:rPr>
              <w:t>4+. szakpolitikai alternatíva/</w:t>
            </w:r>
          </w:p>
        </w:tc>
        <w:tc>
          <w:tcPr>
            <w:tcW w:w="1320" w:type="dxa"/>
            <w:shd w:val="clear" w:color="auto" w:fill="F3F3F3"/>
          </w:tcPr>
          <w:p w:rsidR="004B760C" w:rsidRPr="00E218BD" w:rsidRDefault="004B760C">
            <w:pPr>
              <w:spacing w:before="0" w:after="0"/>
            </w:pPr>
            <w:r w:rsidRPr="00E218BD">
              <w:rPr>
                <w:rFonts w:ascii="Arial" w:hAnsi="Arial"/>
                <w:b/>
                <w:sz w:val="18"/>
              </w:rPr>
              <w:t>5. szakpolitikai alternatíva</w:t>
            </w:r>
          </w:p>
        </w:tc>
      </w:tr>
      <w:tr w:rsidR="004B760C" w:rsidRPr="00E218BD">
        <w:tc>
          <w:tcPr>
            <w:tcW w:w="9857" w:type="dxa"/>
            <w:gridSpan w:val="9"/>
            <w:shd w:val="clear" w:color="auto" w:fill="E6E6E6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b/>
                <w:i/>
                <w:sz w:val="18"/>
              </w:rPr>
              <w:t>Gazdasági hatások</w:t>
            </w:r>
          </w:p>
        </w:tc>
      </w:tr>
      <w:tr w:rsidR="004B760C" w:rsidRPr="00E218BD">
        <w:tc>
          <w:tcPr>
            <w:tcW w:w="2760" w:type="dxa"/>
            <w:shd w:val="clear" w:color="auto" w:fill="F3F3F3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sz w:val="18"/>
              </w:rPr>
              <w:t xml:space="preserve">Az alkalmazottak körében a környezeti dohányfüstnek való kitettség csökkenéséből eredő éves egészségügyi kiadások </w:t>
            </w:r>
            <w:r w:rsidRPr="00E218BD">
              <w:rPr>
                <w:rFonts w:ascii="Arial" w:hAnsi="Arial"/>
                <w:sz w:val="18"/>
              </w:rPr>
              <w:lastRenderedPageBreak/>
              <w:t xml:space="preserve">csökkenése </w:t>
            </w: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lastRenderedPageBreak/>
              <w:t>1336</w:t>
            </w:r>
          </w:p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noProof/>
                <w:sz w:val="18"/>
              </w:rPr>
              <w:t>millió EUR</w:t>
            </w:r>
          </w:p>
        </w:tc>
        <w:tc>
          <w:tcPr>
            <w:tcW w:w="1080" w:type="dxa"/>
            <w:vAlign w:val="center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noProof/>
                <w:sz w:val="18"/>
              </w:rPr>
              <w:t>- 85 millió EUR</w:t>
            </w:r>
          </w:p>
        </w:tc>
        <w:tc>
          <w:tcPr>
            <w:tcW w:w="1200" w:type="dxa"/>
            <w:gridSpan w:val="2"/>
            <w:vAlign w:val="center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noProof/>
                <w:sz w:val="18"/>
              </w:rPr>
              <w:t>-172 millió EUR</w:t>
            </w:r>
          </w:p>
        </w:tc>
        <w:tc>
          <w:tcPr>
            <w:tcW w:w="1210" w:type="dxa"/>
            <w:gridSpan w:val="2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noProof/>
                <w:sz w:val="18"/>
              </w:rPr>
              <w:t>-172 millió EUR -344 millió EUR között</w:t>
            </w:r>
          </w:p>
        </w:tc>
        <w:tc>
          <w:tcPr>
            <w:tcW w:w="1207" w:type="dxa"/>
            <w:vAlign w:val="center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noProof/>
                <w:sz w:val="18"/>
              </w:rPr>
              <w:t>-344 millió EUR</w:t>
            </w:r>
          </w:p>
        </w:tc>
        <w:tc>
          <w:tcPr>
            <w:tcW w:w="1320" w:type="dxa"/>
            <w:vAlign w:val="center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noProof/>
                <w:sz w:val="18"/>
              </w:rPr>
              <w:t>-1073 millió EUR</w:t>
            </w:r>
          </w:p>
        </w:tc>
      </w:tr>
      <w:tr w:rsidR="004B760C" w:rsidRPr="00E218BD">
        <w:tc>
          <w:tcPr>
            <w:tcW w:w="2760" w:type="dxa"/>
            <w:shd w:val="clear" w:color="auto" w:fill="F3F3F3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sz w:val="18"/>
              </w:rPr>
              <w:lastRenderedPageBreak/>
              <w:t xml:space="preserve">Az alkalmazottak körében a környezeti dohányfüstnek való kitettség csökkenéséből eredő éves, nem egészségügyi jellegű kiadások csökkenése </w:t>
            </w: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1124</w:t>
            </w:r>
          </w:p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noProof/>
                <w:sz w:val="18"/>
              </w:rPr>
              <w:t>millió EUR</w:t>
            </w:r>
          </w:p>
        </w:tc>
        <w:tc>
          <w:tcPr>
            <w:tcW w:w="1080" w:type="dxa"/>
            <w:vAlign w:val="center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noProof/>
                <w:sz w:val="18"/>
              </w:rPr>
              <w:t>-73 millió EUR</w:t>
            </w:r>
          </w:p>
        </w:tc>
        <w:tc>
          <w:tcPr>
            <w:tcW w:w="1200" w:type="dxa"/>
            <w:gridSpan w:val="2"/>
            <w:vAlign w:val="center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noProof/>
                <w:sz w:val="18"/>
              </w:rPr>
              <w:t>-144 millió EUR</w:t>
            </w:r>
          </w:p>
        </w:tc>
        <w:tc>
          <w:tcPr>
            <w:tcW w:w="1210" w:type="dxa"/>
            <w:gridSpan w:val="2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noProof/>
                <w:sz w:val="18"/>
              </w:rPr>
              <w:t>-144 millió EUR és -290 millió EUR között</w:t>
            </w:r>
          </w:p>
        </w:tc>
        <w:tc>
          <w:tcPr>
            <w:tcW w:w="1207" w:type="dxa"/>
            <w:vAlign w:val="center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noProof/>
                <w:sz w:val="18"/>
              </w:rPr>
              <w:t>-290 millió EUR</w:t>
            </w:r>
          </w:p>
        </w:tc>
        <w:tc>
          <w:tcPr>
            <w:tcW w:w="1320" w:type="dxa"/>
            <w:vAlign w:val="center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noProof/>
                <w:sz w:val="18"/>
              </w:rPr>
              <w:t>-893 millió EUR</w:t>
            </w:r>
          </w:p>
        </w:tc>
      </w:tr>
      <w:tr w:rsidR="004B760C" w:rsidRPr="00E218BD">
        <w:tc>
          <w:tcPr>
            <w:tcW w:w="2760" w:type="dxa"/>
            <w:shd w:val="clear" w:color="auto" w:fill="F3F3F3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sz w:val="18"/>
              </w:rPr>
              <w:t>A dohánytermékek adójából származó bevételek csökkenése</w:t>
            </w: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200" w:type="dxa"/>
            <w:gridSpan w:val="2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</w:t>
            </w:r>
          </w:p>
        </w:tc>
        <w:tc>
          <w:tcPr>
            <w:tcW w:w="1210" w:type="dxa"/>
            <w:gridSpan w:val="2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07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----</w:t>
            </w:r>
          </w:p>
        </w:tc>
        <w:tc>
          <w:tcPr>
            <w:tcW w:w="132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-----</w:t>
            </w:r>
          </w:p>
        </w:tc>
      </w:tr>
      <w:tr w:rsidR="004B760C" w:rsidRPr="00E218BD">
        <w:tc>
          <w:tcPr>
            <w:tcW w:w="2760" w:type="dxa"/>
            <w:shd w:val="clear" w:color="auto" w:fill="F3F3F3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sz w:val="18"/>
              </w:rPr>
              <w:t xml:space="preserve">A munkavállalók termelékenységének a dohányzás céljából igénybevett szünetek tekintetében történő változása </w:t>
            </w: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+/-</w:t>
            </w:r>
          </w:p>
        </w:tc>
        <w:tc>
          <w:tcPr>
            <w:tcW w:w="1200" w:type="dxa"/>
            <w:gridSpan w:val="2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++/--</w:t>
            </w:r>
          </w:p>
        </w:tc>
        <w:tc>
          <w:tcPr>
            <w:tcW w:w="1210" w:type="dxa"/>
            <w:gridSpan w:val="2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+++/---</w:t>
            </w:r>
          </w:p>
        </w:tc>
        <w:tc>
          <w:tcPr>
            <w:tcW w:w="1207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++++/----</w:t>
            </w:r>
          </w:p>
        </w:tc>
        <w:tc>
          <w:tcPr>
            <w:tcW w:w="132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++++/-----</w:t>
            </w:r>
          </w:p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4B760C" w:rsidRPr="00E218BD">
        <w:tc>
          <w:tcPr>
            <w:tcW w:w="2760" w:type="dxa"/>
            <w:shd w:val="clear" w:color="auto" w:fill="F3F3F3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sz w:val="18"/>
              </w:rPr>
              <w:t>A tűzesetből, takarításból és felújításból származó költségek csökkenése</w:t>
            </w: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</w:t>
            </w:r>
          </w:p>
        </w:tc>
        <w:tc>
          <w:tcPr>
            <w:tcW w:w="1200" w:type="dxa"/>
            <w:gridSpan w:val="2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</w:t>
            </w:r>
          </w:p>
        </w:tc>
        <w:tc>
          <w:tcPr>
            <w:tcW w:w="1210" w:type="dxa"/>
            <w:gridSpan w:val="2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</w:t>
            </w:r>
          </w:p>
        </w:tc>
        <w:tc>
          <w:tcPr>
            <w:tcW w:w="1207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++++</w:t>
            </w:r>
          </w:p>
        </w:tc>
        <w:tc>
          <w:tcPr>
            <w:tcW w:w="132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+++++</w:t>
            </w:r>
          </w:p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noProof/>
                <w:sz w:val="18"/>
              </w:rPr>
              <w:t>965 millió EUR</w:t>
            </w:r>
          </w:p>
        </w:tc>
      </w:tr>
      <w:tr w:rsidR="004B760C" w:rsidRPr="00E218BD">
        <w:tc>
          <w:tcPr>
            <w:tcW w:w="2760" w:type="dxa"/>
            <w:shd w:val="clear" w:color="auto" w:fill="F3F3F3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sz w:val="18"/>
              </w:rPr>
              <w:t xml:space="preserve">A vendéglátóipar bevételeinek éves változása </w:t>
            </w: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noProof/>
                <w:sz w:val="18"/>
              </w:rPr>
              <w:t>114 milliárd EUR</w:t>
            </w:r>
          </w:p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+/-</w:t>
            </w:r>
          </w:p>
        </w:tc>
        <w:tc>
          <w:tcPr>
            <w:tcW w:w="1200" w:type="dxa"/>
            <w:gridSpan w:val="2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++/--</w:t>
            </w:r>
          </w:p>
        </w:tc>
        <w:tc>
          <w:tcPr>
            <w:tcW w:w="1210" w:type="dxa"/>
            <w:gridSpan w:val="2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+++/---</w:t>
            </w:r>
          </w:p>
        </w:tc>
        <w:tc>
          <w:tcPr>
            <w:tcW w:w="1207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++++/----</w:t>
            </w:r>
          </w:p>
        </w:tc>
        <w:tc>
          <w:tcPr>
            <w:tcW w:w="132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+++++/------</w:t>
            </w:r>
          </w:p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noProof/>
                <w:sz w:val="18"/>
              </w:rPr>
              <w:t>-11milliárd EUR és +10 milliárd között</w:t>
            </w:r>
          </w:p>
        </w:tc>
      </w:tr>
      <w:tr w:rsidR="004B760C" w:rsidRPr="00E218BD">
        <w:tc>
          <w:tcPr>
            <w:tcW w:w="2760" w:type="dxa"/>
            <w:shd w:val="clear" w:color="auto" w:fill="F3F3F3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sz w:val="18"/>
              </w:rPr>
              <w:t>A vendéglátóipar foglalkoztatási szintjének változása</w:t>
            </w: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 xml:space="preserve">6 887 912 </w:t>
            </w: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+/-</w:t>
            </w:r>
          </w:p>
        </w:tc>
        <w:tc>
          <w:tcPr>
            <w:tcW w:w="1200" w:type="dxa"/>
            <w:gridSpan w:val="2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++/--</w:t>
            </w:r>
          </w:p>
        </w:tc>
        <w:tc>
          <w:tcPr>
            <w:tcW w:w="1210" w:type="dxa"/>
            <w:gridSpan w:val="2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+++/---</w:t>
            </w:r>
          </w:p>
        </w:tc>
        <w:tc>
          <w:tcPr>
            <w:tcW w:w="1207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++++/----</w:t>
            </w:r>
          </w:p>
        </w:tc>
        <w:tc>
          <w:tcPr>
            <w:tcW w:w="132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+++++/------</w:t>
            </w:r>
          </w:p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noProof/>
                <w:sz w:val="18"/>
              </w:rPr>
              <w:t>-265 000 és +271 000 között</w:t>
            </w:r>
          </w:p>
        </w:tc>
      </w:tr>
      <w:tr w:rsidR="004B760C" w:rsidRPr="00E218BD">
        <w:tc>
          <w:tcPr>
            <w:tcW w:w="2760" w:type="dxa"/>
            <w:shd w:val="clear" w:color="auto" w:fill="F3F3F3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Éves bevételcsökkenés a dohányiparban</w:t>
            </w:r>
          </w:p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noProof/>
                <w:sz w:val="18"/>
              </w:rPr>
              <w:t>67 milliárd EUR</w:t>
            </w: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200" w:type="dxa"/>
            <w:gridSpan w:val="2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</w:t>
            </w:r>
          </w:p>
        </w:tc>
        <w:tc>
          <w:tcPr>
            <w:tcW w:w="1210" w:type="dxa"/>
            <w:gridSpan w:val="2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07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----</w:t>
            </w:r>
          </w:p>
        </w:tc>
        <w:tc>
          <w:tcPr>
            <w:tcW w:w="132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-----</w:t>
            </w:r>
          </w:p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  <w:highlight w:val="yellow"/>
              </w:rPr>
            </w:pPr>
            <w:r w:rsidRPr="00E218BD">
              <w:rPr>
                <w:rFonts w:ascii="Arial" w:hAnsi="Arial"/>
                <w:noProof/>
                <w:sz w:val="18"/>
              </w:rPr>
              <w:t>-3,3 milliárd</w:t>
            </w:r>
          </w:p>
        </w:tc>
      </w:tr>
      <w:tr w:rsidR="004B760C" w:rsidRPr="00E218BD">
        <w:tc>
          <w:tcPr>
            <w:tcW w:w="2760" w:type="dxa"/>
            <w:shd w:val="clear" w:color="auto" w:fill="F3F3F3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Megszűnt munkahelyek a dohányiparban</w:t>
            </w:r>
          </w:p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53 521</w:t>
            </w: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200" w:type="dxa"/>
            <w:gridSpan w:val="2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</w:t>
            </w:r>
          </w:p>
        </w:tc>
        <w:tc>
          <w:tcPr>
            <w:tcW w:w="1210" w:type="dxa"/>
            <w:gridSpan w:val="2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07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----</w:t>
            </w:r>
          </w:p>
        </w:tc>
        <w:tc>
          <w:tcPr>
            <w:tcW w:w="132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-----</w:t>
            </w:r>
          </w:p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  <w:highlight w:val="yellow"/>
              </w:rPr>
            </w:pPr>
            <w:r w:rsidRPr="00E218BD">
              <w:rPr>
                <w:rFonts w:ascii="Arial" w:hAnsi="Arial"/>
                <w:sz w:val="18"/>
              </w:rPr>
              <w:t>-2 609</w:t>
            </w:r>
          </w:p>
        </w:tc>
      </w:tr>
      <w:tr w:rsidR="004B760C" w:rsidRPr="00E218BD">
        <w:tc>
          <w:tcPr>
            <w:tcW w:w="2760" w:type="dxa"/>
            <w:shd w:val="clear" w:color="auto" w:fill="F3F3F3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sz w:val="18"/>
              </w:rPr>
              <w:t>A végrehajtás és érvényre juttatás költségei</w:t>
            </w: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60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60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</w:t>
            </w:r>
          </w:p>
        </w:tc>
        <w:tc>
          <w:tcPr>
            <w:tcW w:w="605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605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</w:t>
            </w:r>
          </w:p>
        </w:tc>
        <w:tc>
          <w:tcPr>
            <w:tcW w:w="1207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2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---</w:t>
            </w:r>
          </w:p>
        </w:tc>
      </w:tr>
    </w:tbl>
    <w:p w:rsidR="004B760C" w:rsidRPr="00E218BD" w:rsidRDefault="004678D2" w:rsidP="004678D2">
      <w:pPr>
        <w:pStyle w:val="ManualHeading3"/>
      </w:pPr>
      <w:r w:rsidRPr="004678D2">
        <w:t>6.1.3.</w:t>
      </w:r>
      <w:r w:rsidRPr="004678D2">
        <w:tab/>
      </w:r>
      <w:r w:rsidR="004B760C" w:rsidRPr="00E218BD">
        <w:t>Környezeti hatások</w:t>
      </w:r>
    </w:p>
    <w:p w:rsidR="004B760C" w:rsidRPr="00E218BD" w:rsidRDefault="004B760C">
      <w:r w:rsidRPr="00E218BD">
        <w:t>A fő környezeti hatást a beltéri levegő minőségének jelentős javulása jelentené. Az esetleges negatív hatás a légmelegítő berendezések megnövekedett használatában és az eldobott cigarettavégek következtében megnövekedett utcai szemétmennyiségben jelentkezhetne. Ezek a hatások azonban valószínűleg csekély mértékűek lennének.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1080"/>
        <w:gridCol w:w="1080"/>
        <w:gridCol w:w="1200"/>
        <w:gridCol w:w="1210"/>
        <w:gridCol w:w="1207"/>
        <w:gridCol w:w="1320"/>
      </w:tblGrid>
      <w:tr w:rsidR="004B760C" w:rsidRPr="00E218BD">
        <w:trPr>
          <w:trHeight w:val="409"/>
        </w:trPr>
        <w:tc>
          <w:tcPr>
            <w:tcW w:w="2760" w:type="dxa"/>
            <w:shd w:val="clear" w:color="auto" w:fill="F3F3F3"/>
          </w:tcPr>
          <w:p w:rsidR="004B760C" w:rsidRPr="00E218BD" w:rsidRDefault="004B760C">
            <w:pPr>
              <w:spacing w:before="0"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shd w:val="clear" w:color="auto" w:fill="F3F3F3"/>
          </w:tcPr>
          <w:p w:rsidR="004B760C" w:rsidRPr="00E218BD" w:rsidRDefault="004B760C">
            <w:pPr>
              <w:spacing w:before="0" w:after="0"/>
            </w:pPr>
            <w:r w:rsidRPr="00E218BD">
              <w:rPr>
                <w:rFonts w:ascii="Arial" w:hAnsi="Arial"/>
                <w:b/>
                <w:sz w:val="18"/>
              </w:rPr>
              <w:t>Kiindulás</w:t>
            </w:r>
          </w:p>
        </w:tc>
        <w:tc>
          <w:tcPr>
            <w:tcW w:w="1080" w:type="dxa"/>
            <w:shd w:val="clear" w:color="auto" w:fill="F3F3F3"/>
          </w:tcPr>
          <w:p w:rsidR="004B760C" w:rsidRPr="00E218BD" w:rsidRDefault="004B760C">
            <w:pPr>
              <w:spacing w:before="0" w:after="0"/>
            </w:pPr>
            <w:r w:rsidRPr="00E218BD">
              <w:rPr>
                <w:rFonts w:ascii="Arial" w:hAnsi="Arial"/>
                <w:b/>
                <w:sz w:val="18"/>
              </w:rPr>
              <w:t>1. szakpolitikai alternatíva</w:t>
            </w:r>
          </w:p>
        </w:tc>
        <w:tc>
          <w:tcPr>
            <w:tcW w:w="1200" w:type="dxa"/>
            <w:shd w:val="clear" w:color="auto" w:fill="F3F3F3"/>
          </w:tcPr>
          <w:p w:rsidR="004B760C" w:rsidRPr="00E218BD" w:rsidRDefault="004B760C">
            <w:pPr>
              <w:spacing w:before="0" w:after="0"/>
              <w:rPr>
                <w:rFonts w:ascii="Arial" w:hAnsi="Arial"/>
                <w:b/>
                <w:sz w:val="18"/>
              </w:rPr>
            </w:pPr>
            <w:r w:rsidRPr="00E218BD">
              <w:rPr>
                <w:rFonts w:ascii="Arial" w:hAnsi="Arial"/>
                <w:b/>
                <w:sz w:val="18"/>
              </w:rPr>
              <w:t>2. szakpolitikai alternatíva/</w:t>
            </w:r>
          </w:p>
          <w:p w:rsidR="004B760C" w:rsidRPr="00E218BD" w:rsidRDefault="004B760C">
            <w:pPr>
              <w:spacing w:before="0" w:after="0"/>
            </w:pPr>
            <w:r w:rsidRPr="00E218BD">
              <w:rPr>
                <w:rFonts w:ascii="Arial" w:hAnsi="Arial"/>
                <w:b/>
                <w:sz w:val="18"/>
              </w:rPr>
              <w:t>3. szakpolitikai alternatíva</w:t>
            </w:r>
          </w:p>
        </w:tc>
        <w:tc>
          <w:tcPr>
            <w:tcW w:w="1210" w:type="dxa"/>
            <w:shd w:val="clear" w:color="auto" w:fill="F3F3F3"/>
          </w:tcPr>
          <w:p w:rsidR="004B760C" w:rsidRPr="00E218BD" w:rsidRDefault="004B760C">
            <w:pPr>
              <w:spacing w:before="0" w:after="0"/>
              <w:rPr>
                <w:rFonts w:ascii="Arial" w:hAnsi="Arial"/>
                <w:b/>
                <w:sz w:val="18"/>
              </w:rPr>
            </w:pPr>
            <w:r w:rsidRPr="00E218BD">
              <w:rPr>
                <w:rFonts w:ascii="Arial" w:hAnsi="Arial"/>
                <w:b/>
                <w:sz w:val="18"/>
              </w:rPr>
              <w:t>3+. szakpolitikai alternatíva/</w:t>
            </w:r>
          </w:p>
          <w:p w:rsidR="004B760C" w:rsidRPr="00E218BD" w:rsidRDefault="004B760C">
            <w:pPr>
              <w:spacing w:before="0" w:after="0"/>
            </w:pPr>
            <w:r w:rsidRPr="00E218BD">
              <w:rPr>
                <w:rFonts w:ascii="Arial" w:hAnsi="Arial"/>
                <w:b/>
                <w:sz w:val="18"/>
              </w:rPr>
              <w:t>4. szakpolitikai alternatíva</w:t>
            </w:r>
          </w:p>
        </w:tc>
        <w:tc>
          <w:tcPr>
            <w:tcW w:w="1207" w:type="dxa"/>
            <w:shd w:val="clear" w:color="auto" w:fill="F3F3F3"/>
          </w:tcPr>
          <w:p w:rsidR="004B760C" w:rsidRPr="00E218BD" w:rsidRDefault="004B760C">
            <w:pPr>
              <w:spacing w:before="0" w:after="0"/>
            </w:pPr>
            <w:r w:rsidRPr="00E218BD">
              <w:rPr>
                <w:rFonts w:ascii="Arial" w:hAnsi="Arial"/>
                <w:b/>
                <w:sz w:val="18"/>
              </w:rPr>
              <w:t>4+. szakpolitikai alternatíva/</w:t>
            </w:r>
          </w:p>
        </w:tc>
        <w:tc>
          <w:tcPr>
            <w:tcW w:w="1320" w:type="dxa"/>
            <w:shd w:val="clear" w:color="auto" w:fill="F3F3F3"/>
          </w:tcPr>
          <w:p w:rsidR="004B760C" w:rsidRPr="00E218BD" w:rsidRDefault="004B760C">
            <w:pPr>
              <w:spacing w:before="0" w:after="0"/>
            </w:pPr>
            <w:r w:rsidRPr="00E218BD">
              <w:rPr>
                <w:rFonts w:ascii="Arial" w:hAnsi="Arial"/>
                <w:b/>
                <w:sz w:val="18"/>
              </w:rPr>
              <w:t>5. szakpolitikai alternatíva</w:t>
            </w:r>
          </w:p>
        </w:tc>
      </w:tr>
      <w:tr w:rsidR="004B760C" w:rsidRPr="00E218BD">
        <w:tc>
          <w:tcPr>
            <w:tcW w:w="9857" w:type="dxa"/>
            <w:gridSpan w:val="7"/>
            <w:shd w:val="clear" w:color="auto" w:fill="E6E6E6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b/>
                <w:i/>
                <w:sz w:val="18"/>
              </w:rPr>
              <w:t>Környezeti hatások</w:t>
            </w:r>
          </w:p>
        </w:tc>
      </w:tr>
      <w:tr w:rsidR="004B760C" w:rsidRPr="00E218BD">
        <w:tc>
          <w:tcPr>
            <w:tcW w:w="2760" w:type="dxa"/>
            <w:shd w:val="clear" w:color="auto" w:fill="F3F3F3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sz w:val="18"/>
              </w:rPr>
              <w:t>A beltéri levegőszennyezés csökkenése</w:t>
            </w: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</w:t>
            </w:r>
          </w:p>
        </w:tc>
        <w:tc>
          <w:tcPr>
            <w:tcW w:w="120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</w:t>
            </w:r>
          </w:p>
        </w:tc>
        <w:tc>
          <w:tcPr>
            <w:tcW w:w="121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</w:t>
            </w:r>
          </w:p>
        </w:tc>
        <w:tc>
          <w:tcPr>
            <w:tcW w:w="1207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</w:t>
            </w:r>
          </w:p>
        </w:tc>
        <w:tc>
          <w:tcPr>
            <w:tcW w:w="132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++++</w:t>
            </w:r>
          </w:p>
        </w:tc>
      </w:tr>
      <w:tr w:rsidR="004B760C" w:rsidRPr="00E218BD">
        <w:tc>
          <w:tcPr>
            <w:tcW w:w="2760" w:type="dxa"/>
            <w:shd w:val="clear" w:color="auto" w:fill="F3F3F3"/>
          </w:tcPr>
          <w:p w:rsidR="004B760C" w:rsidRPr="00E218BD" w:rsidRDefault="004B760C">
            <w:pPr>
              <w:spacing w:before="40" w:after="40"/>
            </w:pPr>
            <w:r w:rsidRPr="00E218BD">
              <w:rPr>
                <w:rFonts w:ascii="Arial" w:hAnsi="Arial"/>
                <w:sz w:val="18"/>
              </w:rPr>
              <w:t>Megnövekedett utcai szemétmennyiség és a légmelegítő berendezések megnövekedett használata</w:t>
            </w: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20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21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207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</w:t>
            </w:r>
          </w:p>
        </w:tc>
        <w:tc>
          <w:tcPr>
            <w:tcW w:w="1320" w:type="dxa"/>
          </w:tcPr>
          <w:p w:rsidR="004B760C" w:rsidRPr="00E218BD" w:rsidRDefault="004B760C">
            <w:pPr>
              <w:spacing w:before="40" w:after="40"/>
              <w:rPr>
                <w:rFonts w:ascii="Arial" w:hAnsi="Arial"/>
                <w:sz w:val="18"/>
              </w:rPr>
            </w:pPr>
            <w:r w:rsidRPr="00E218BD">
              <w:rPr>
                <w:rFonts w:ascii="Arial" w:hAnsi="Arial"/>
                <w:sz w:val="18"/>
              </w:rPr>
              <w:t>---</w:t>
            </w:r>
          </w:p>
        </w:tc>
      </w:tr>
    </w:tbl>
    <w:p w:rsidR="004B760C" w:rsidRPr="00A00C3F" w:rsidRDefault="004678D2" w:rsidP="004678D2">
      <w:pPr>
        <w:pStyle w:val="ManualHeading2"/>
      </w:pPr>
      <w:r w:rsidRPr="004678D2">
        <w:lastRenderedPageBreak/>
        <w:t>6.2.</w:t>
      </w:r>
      <w:r w:rsidRPr="004678D2">
        <w:tab/>
      </w:r>
      <w:r w:rsidR="004B760C" w:rsidRPr="00A00C3F">
        <w:t>Az előnyben részesített lehetőség</w:t>
      </w:r>
    </w:p>
    <w:p w:rsidR="004B760C" w:rsidRPr="00E218BD" w:rsidRDefault="004B760C">
      <w:pPr>
        <w:autoSpaceDE w:val="0"/>
        <w:autoSpaceDN w:val="0"/>
        <w:adjustRightInd w:val="0"/>
      </w:pPr>
      <w:r w:rsidRPr="00E218BD">
        <w:t>Jóllehet a kötelező erejű jogszabályok érnék el a legnagyobb csökkenést a környezeti dohányfüst előfordulásában, illetve eredményeznék a legjelentősebb egészségügyi és gazdasági előnyöket, végrehajtásuk hosszadalmas lenne, és a jogszabály hatálya korlátozottabb lenne, mint ajánlás esetében. Rövid távon a tanácsi ajánlás és a nyílt koordinációs módszer ötvözete az előnyben részesített alternatíva, mivel ez a lehetőség tűnik a leggyorsabbnak és a legátfogóbbnak ahhoz, hogy a tagállamoknak segítséget nyújtson szigorú dohányzásellenes törvények végrehajtásában, összhangban a dohányzás-ellenőrzési keretegyezményben tett kötelezettségvállalásokkal, emellett pedig biztosítsa a probléma arányos megközelítését.</w:t>
      </w:r>
    </w:p>
    <w:p w:rsidR="004B760C" w:rsidRPr="00E218BD" w:rsidRDefault="004678D2" w:rsidP="004678D2">
      <w:pPr>
        <w:pStyle w:val="ManualHeading1"/>
      </w:pPr>
      <w:bookmarkStart w:id="0" w:name="S1"/>
      <w:r w:rsidRPr="004678D2">
        <w:t>7.</w:t>
      </w:r>
      <w:r w:rsidRPr="004678D2">
        <w:tab/>
      </w:r>
      <w:r w:rsidR="004B760C" w:rsidRPr="00E218BD">
        <w:t>nyomon követés és értékelés</w:t>
      </w:r>
    </w:p>
    <w:bookmarkEnd w:id="0"/>
    <w:p w:rsidR="004B760C" w:rsidRPr="004678D2" w:rsidRDefault="004B760C">
      <w:pPr>
        <w:autoSpaceDE w:val="0"/>
        <w:autoSpaceDN w:val="0"/>
        <w:adjustRightInd w:val="0"/>
      </w:pPr>
      <w:r w:rsidRPr="00E218BD">
        <w:t xml:space="preserve">A kiválasztott politikai lehetőség hatásainak nyomon követésére használt mutatók közé a következőknek kell tartozniuk: a nemzeti politikák elterjedtsége és minősége, a dohányfüstnek való kitettség különböző környezetekben, a dohánytermékekkel és a dohányfüsttel kapcsolatos ismeretek és attitűdök, valamint a dohányzással összefüggő megbetegedések gyakorisága és az ebből származó halálozások aránya. A kezdeményezés átfogó hatása előreláthatólag egy, a dohányzásellenes stratégiáról szóló, 2010-re vagy 2011-re tervezett közleményben kerül értékelésre. </w:t>
      </w:r>
    </w:p>
    <w:sectPr w:rsidR="004B760C" w:rsidRPr="004678D2" w:rsidSect="004678D2">
      <w:footerReference w:type="default" r:id="rId11"/>
      <w:footerReference w:type="first" r:id="rId12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8C" w:rsidRDefault="001E108C">
      <w:r>
        <w:separator/>
      </w:r>
    </w:p>
  </w:endnote>
  <w:endnote w:type="continuationSeparator" w:id="0">
    <w:p w:rsidR="001E108C" w:rsidRDefault="001E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D2" w:rsidRPr="004678D2" w:rsidRDefault="004678D2" w:rsidP="004678D2">
    <w:pPr>
      <w:pStyle w:val="llb"/>
      <w:rPr>
        <w:rFonts w:ascii="Arial" w:hAnsi="Arial" w:cs="Arial"/>
        <w:b/>
        <w:sz w:val="48"/>
      </w:rPr>
    </w:pPr>
    <w:r w:rsidRPr="004678D2">
      <w:rPr>
        <w:rFonts w:ascii="Arial" w:hAnsi="Arial" w:cs="Arial"/>
        <w:b/>
        <w:sz w:val="48"/>
      </w:rPr>
      <w:t>HU</w:t>
    </w:r>
    <w:r w:rsidRPr="004678D2">
      <w:rPr>
        <w:rFonts w:ascii="Arial" w:hAnsi="Arial" w:cs="Arial"/>
        <w:b/>
        <w:sz w:val="48"/>
      </w:rPr>
      <w:tab/>
    </w:r>
    <w:r w:rsidRPr="004678D2">
      <w:rPr>
        <w:rFonts w:ascii="Arial" w:hAnsi="Arial" w:cs="Arial"/>
        <w:b/>
        <w:sz w:val="48"/>
      </w:rPr>
      <w:tab/>
    </w:r>
    <w:fldSimple w:instr=" DOCPROPERTY &quot;Classification&quot; \* MERGEFORMAT ">
      <w:r>
        <w:t xml:space="preserve"> </w:t>
      </w:r>
    </w:fldSimple>
    <w:r w:rsidRPr="004678D2">
      <w:tab/>
    </w:r>
    <w:r w:rsidRPr="004678D2">
      <w:rPr>
        <w:rFonts w:ascii="Arial" w:hAnsi="Arial" w:cs="Arial"/>
        <w:b/>
        <w:sz w:val="48"/>
      </w:rPr>
      <w:t>HU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D2" w:rsidRPr="004678D2" w:rsidRDefault="004678D2" w:rsidP="004678D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D2" w:rsidRPr="004678D2" w:rsidRDefault="004678D2" w:rsidP="004678D2">
    <w:pPr>
      <w:pStyle w:val="llb"/>
      <w:rPr>
        <w:rFonts w:ascii="Arial" w:hAnsi="Arial" w:cs="Arial"/>
        <w:b/>
        <w:sz w:val="48"/>
      </w:rPr>
    </w:pPr>
    <w:r w:rsidRPr="004678D2">
      <w:rPr>
        <w:rFonts w:ascii="Arial" w:hAnsi="Arial" w:cs="Arial"/>
        <w:b/>
        <w:sz w:val="48"/>
      </w:rPr>
      <w:t>HU</w:t>
    </w:r>
    <w:r w:rsidRPr="004678D2">
      <w:rPr>
        <w:rFonts w:ascii="Arial" w:hAnsi="Arial" w:cs="Arial"/>
        <w:b/>
        <w:sz w:val="48"/>
      </w:rPr>
      <w:tab/>
    </w:r>
    <w:fldSimple w:instr=" PAGE  \* MERGEFORMAT ">
      <w:r w:rsidR="00392BC7">
        <w:rPr>
          <w:noProof/>
        </w:rPr>
        <w:t>10</w:t>
      </w:r>
    </w:fldSimple>
    <w:r>
      <w:tab/>
    </w:r>
    <w:fldSimple w:instr=" DOCPROPERTY &quot;Classification&quot; \* MERGEFORMAT ">
      <w:r>
        <w:t xml:space="preserve"> </w:t>
      </w:r>
    </w:fldSimple>
    <w:r w:rsidRPr="004678D2">
      <w:tab/>
    </w:r>
    <w:r w:rsidRPr="004678D2">
      <w:rPr>
        <w:rFonts w:ascii="Arial" w:hAnsi="Arial" w:cs="Arial"/>
        <w:b/>
        <w:sz w:val="48"/>
      </w:rPr>
      <w:t>HU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D2" w:rsidRPr="004678D2" w:rsidRDefault="004678D2" w:rsidP="004678D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8C" w:rsidRDefault="001E108C">
      <w:r>
        <w:separator/>
      </w:r>
    </w:p>
  </w:footnote>
  <w:footnote w:type="continuationSeparator" w:id="0">
    <w:p w:rsidR="001E108C" w:rsidRDefault="001E108C">
      <w:r>
        <w:continuationSeparator/>
      </w:r>
    </w:p>
  </w:footnote>
  <w:footnote w:id="1">
    <w:p w:rsidR="003C0F64" w:rsidRDefault="003C0F64">
      <w:pPr>
        <w:pStyle w:val="Lbjegyzetszveg"/>
        <w:rPr>
          <w:szCs w:val="24"/>
        </w:rPr>
      </w:pPr>
      <w:r>
        <w:rPr>
          <w:rStyle w:val="Lbjegyzet-hivatkozs"/>
          <w:szCs w:val="24"/>
        </w:rPr>
        <w:footnoteRef/>
      </w:r>
      <w:r>
        <w:rPr>
          <w:szCs w:val="24"/>
        </w:rPr>
        <w:tab/>
        <w:t>The Smoke Free Partnership (2006). Lifting the smokescreen: 10 reasons for a smoke free Europe Brussels, Belgium, European Respiratory Society</w:t>
      </w:r>
      <w:r>
        <w:rPr>
          <w:sz w:val="22"/>
          <w:szCs w:val="24"/>
        </w:rPr>
        <w:t xml:space="preserve">: </w:t>
      </w:r>
      <w:r>
        <w:rPr>
          <w:szCs w:val="24"/>
        </w:rPr>
        <w:t>146. o</w:t>
      </w:r>
      <w:r>
        <w:rPr>
          <w:sz w:val="22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F0C506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6AD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626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A0F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1"/>
    <w:multiLevelType w:val="singleLevel"/>
    <w:tmpl w:val="07D25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09CC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C02AB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C52C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2996C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350FB1"/>
    <w:multiLevelType w:val="multilevel"/>
    <w:tmpl w:val="30847FD6"/>
    <w:name w:val="List Number 4"/>
    <w:lvl w:ilvl="0">
      <w:start w:val="1"/>
      <w:numFmt w:val="decimal"/>
      <w:pStyle w:val="Szmozottlista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05E43525"/>
    <w:multiLevelType w:val="multilevel"/>
    <w:tmpl w:val="76202BFE"/>
    <w:name w:val="List Number__2"/>
    <w:lvl w:ilvl="0">
      <w:start w:val="1"/>
      <w:numFmt w:val="decimal"/>
      <w:pStyle w:val="Szmozottlista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2DD5905"/>
    <w:multiLevelType w:val="singleLevel"/>
    <w:tmpl w:val="6CB4B73E"/>
    <w:name w:val="List Number 3"/>
    <w:lvl w:ilvl="0">
      <w:start w:val="1"/>
      <w:numFmt w:val="bullet"/>
      <w:pStyle w:val="Felsorols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2">
    <w:nsid w:val="24E930D7"/>
    <w:multiLevelType w:val="multilevel"/>
    <w:tmpl w:val="EFD2E05E"/>
    <w:lvl w:ilvl="0">
      <w:start w:val="1"/>
      <w:numFmt w:val="decimal"/>
      <w:pStyle w:val="Szmozottlista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E9A7D38"/>
    <w:multiLevelType w:val="multilevel"/>
    <w:tmpl w:val="AC500484"/>
    <w:name w:val="List Bullet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32A52C4F"/>
    <w:multiLevelType w:val="singleLevel"/>
    <w:tmpl w:val="CEFC5A24"/>
    <w:name w:val="List Number 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395128B6"/>
    <w:multiLevelType w:val="singleLevel"/>
    <w:tmpl w:val="4F70CA0A"/>
    <w:name w:val="Default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6">
    <w:nsid w:val="3E191884"/>
    <w:multiLevelType w:val="singleLevel"/>
    <w:tmpl w:val="3020C764"/>
    <w:name w:val="Tiret 0"/>
    <w:lvl w:ilvl="0">
      <w:start w:val="1"/>
      <w:numFmt w:val="bullet"/>
      <w:pStyle w:val="Felsorols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7">
    <w:nsid w:val="40315490"/>
    <w:multiLevelType w:val="singleLevel"/>
    <w:tmpl w:val="1F86C700"/>
    <w:name w:val="Tiret 2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>
    <w:nsid w:val="46416817"/>
    <w:multiLevelType w:val="singleLevel"/>
    <w:tmpl w:val="ABE4C590"/>
    <w:name w:val="List Bullet 3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>
    <w:nsid w:val="4C1B7A6F"/>
    <w:multiLevelType w:val="singleLevel"/>
    <w:tmpl w:val="0A7CB49A"/>
    <w:name w:val="Heading__1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0">
    <w:nsid w:val="53F47367"/>
    <w:multiLevelType w:val="singleLevel"/>
    <w:tmpl w:val="B4E8C9F0"/>
    <w:name w:val="List Dash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56CB74B4"/>
    <w:multiLevelType w:val="multilevel"/>
    <w:tmpl w:val="E67CE90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596D67A1"/>
    <w:multiLevelType w:val="singleLevel"/>
    <w:tmpl w:val="9AC8831A"/>
    <w:name w:val="Tiret 3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3">
    <w:nsid w:val="599871B7"/>
    <w:multiLevelType w:val="multilevel"/>
    <w:tmpl w:val="2E3C232A"/>
    <w:name w:val="Tiret 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5EF779A6"/>
    <w:multiLevelType w:val="singleLevel"/>
    <w:tmpl w:val="C4347D46"/>
    <w:name w:val="Tiret 1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5">
    <w:nsid w:val="5F8C3B69"/>
    <w:multiLevelType w:val="multilevel"/>
    <w:tmpl w:val="9B14DAA8"/>
    <w:name w:val="Heading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62A8042C"/>
    <w:multiLevelType w:val="singleLevel"/>
    <w:tmpl w:val="CCF20C06"/>
    <w:name w:val="List Dash 2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7">
    <w:nsid w:val="6A6901C1"/>
    <w:multiLevelType w:val="singleLevel"/>
    <w:tmpl w:val="208841AE"/>
    <w:name w:val="LegalNumbering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8">
    <w:nsid w:val="6D2B5511"/>
    <w:multiLevelType w:val="singleLevel"/>
    <w:tmpl w:val="74A09970"/>
    <w:name w:val="Considérant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9">
    <w:nsid w:val="71BE4D7E"/>
    <w:multiLevelType w:val="multilevel"/>
    <w:tmpl w:val="67DCE5B2"/>
    <w:name w:val="Heading__2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8A241BD"/>
    <w:multiLevelType w:val="singleLevel"/>
    <w:tmpl w:val="53C4DF32"/>
    <w:name w:val="List Number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1">
    <w:nsid w:val="79C96D36"/>
    <w:multiLevelType w:val="multilevel"/>
    <w:tmpl w:val="BE983CE4"/>
    <w:name w:val="List Dash 1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7B76368E"/>
    <w:multiLevelType w:val="multilevel"/>
    <w:tmpl w:val="AF48D008"/>
    <w:name w:val="List Bullet 1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7C966381"/>
    <w:multiLevelType w:val="multilevel"/>
    <w:tmpl w:val="DCC88062"/>
    <w:name w:val="List Bullet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7D8820A0"/>
    <w:multiLevelType w:val="singleLevel"/>
    <w:tmpl w:val="54F6C7B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5">
    <w:nsid w:val="7F7154E1"/>
    <w:multiLevelType w:val="singleLevel"/>
    <w:tmpl w:val="E3F6D2C6"/>
    <w:name w:val="List Dash 3"/>
    <w:lvl w:ilvl="0">
      <w:start w:val="1"/>
      <w:numFmt w:val="bullet"/>
      <w:pStyle w:val="Felsorols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14"/>
  </w:num>
  <w:num w:numId="19">
    <w:abstractNumId w:val="20"/>
  </w:num>
  <w:num w:numId="20">
    <w:abstractNumId w:val="15"/>
  </w:num>
  <w:num w:numId="21">
    <w:abstractNumId w:val="18"/>
  </w:num>
  <w:num w:numId="22">
    <w:abstractNumId w:val="19"/>
  </w:num>
  <w:num w:numId="23">
    <w:abstractNumId w:val="33"/>
  </w:num>
  <w:num w:numId="24">
    <w:abstractNumId w:val="21"/>
  </w:num>
  <w:num w:numId="25">
    <w:abstractNumId w:val="28"/>
  </w:num>
  <w:num w:numId="26">
    <w:abstractNumId w:val="27"/>
  </w:num>
  <w:num w:numId="27">
    <w:abstractNumId w:val="11"/>
  </w:num>
  <w:num w:numId="28">
    <w:abstractNumId w:val="16"/>
  </w:num>
  <w:num w:numId="29">
    <w:abstractNumId w:val="35"/>
  </w:num>
  <w:num w:numId="30">
    <w:abstractNumId w:val="17"/>
  </w:num>
  <w:num w:numId="31">
    <w:abstractNumId w:val="26"/>
  </w:num>
  <w:num w:numId="32">
    <w:abstractNumId w:val="22"/>
  </w:num>
  <w:num w:numId="33">
    <w:abstractNumId w:val="30"/>
  </w:num>
  <w:num w:numId="34">
    <w:abstractNumId w:val="34"/>
  </w:num>
  <w:num w:numId="35">
    <w:abstractNumId w:val="25"/>
  </w:num>
  <w:num w:numId="36">
    <w:abstractNumId w:val="31"/>
  </w:num>
  <w:num w:numId="37">
    <w:abstractNumId w:val="12"/>
  </w:num>
  <w:num w:numId="38">
    <w:abstractNumId w:val="10"/>
  </w:num>
  <w:num w:numId="39">
    <w:abstractNumId w:val="9"/>
  </w:num>
  <w:num w:numId="40">
    <w:abstractNumId w:val="24"/>
  </w:num>
  <w:num w:numId="41">
    <w:abstractNumId w:val="0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opylist_Path" w:val="\\at100\user\wk\SEILEG\Lw5x\Copylist\CecCons\Template"/>
    <w:docVar w:name="Heading" w:val="Heading__2"/>
    <w:docVar w:name="LW_DocType" w:val="COM"/>
    <w:docVar w:name="VSSDB_IniPath" w:val="\\at100\user\wovo\SEILEG\vss\srcsafe.ini"/>
    <w:docVar w:name="VSSDB_ProjectPath" w:val="$/LegisWrite/DOT/COM"/>
  </w:docVars>
  <w:rsids>
    <w:rsidRoot w:val="0055616A"/>
    <w:rsid w:val="000269B8"/>
    <w:rsid w:val="00034F34"/>
    <w:rsid w:val="00040B7C"/>
    <w:rsid w:val="00054AD6"/>
    <w:rsid w:val="0005635E"/>
    <w:rsid w:val="0007311B"/>
    <w:rsid w:val="00084D73"/>
    <w:rsid w:val="00093636"/>
    <w:rsid w:val="000A2668"/>
    <w:rsid w:val="000A274D"/>
    <w:rsid w:val="000D1138"/>
    <w:rsid w:val="000D1C4F"/>
    <w:rsid w:val="000D5B53"/>
    <w:rsid w:val="00105351"/>
    <w:rsid w:val="00107546"/>
    <w:rsid w:val="001135B4"/>
    <w:rsid w:val="001155CB"/>
    <w:rsid w:val="001160C1"/>
    <w:rsid w:val="00120230"/>
    <w:rsid w:val="00141640"/>
    <w:rsid w:val="00146E59"/>
    <w:rsid w:val="00147851"/>
    <w:rsid w:val="001534AE"/>
    <w:rsid w:val="00155CE6"/>
    <w:rsid w:val="00162A8F"/>
    <w:rsid w:val="00162B6D"/>
    <w:rsid w:val="00163ED2"/>
    <w:rsid w:val="001755CF"/>
    <w:rsid w:val="001831AE"/>
    <w:rsid w:val="0019230A"/>
    <w:rsid w:val="001977B4"/>
    <w:rsid w:val="001A219B"/>
    <w:rsid w:val="001C5AF2"/>
    <w:rsid w:val="001D31C1"/>
    <w:rsid w:val="001E108C"/>
    <w:rsid w:val="001F07A0"/>
    <w:rsid w:val="001F1B70"/>
    <w:rsid w:val="001F439C"/>
    <w:rsid w:val="001F4F3A"/>
    <w:rsid w:val="00206643"/>
    <w:rsid w:val="00217BFC"/>
    <w:rsid w:val="00237621"/>
    <w:rsid w:val="00250356"/>
    <w:rsid w:val="0025486A"/>
    <w:rsid w:val="00256ECF"/>
    <w:rsid w:val="002632E0"/>
    <w:rsid w:val="0027244F"/>
    <w:rsid w:val="00280858"/>
    <w:rsid w:val="0028621B"/>
    <w:rsid w:val="002A2CBE"/>
    <w:rsid w:val="002C322F"/>
    <w:rsid w:val="002C4086"/>
    <w:rsid w:val="002C5331"/>
    <w:rsid w:val="002C648B"/>
    <w:rsid w:val="002D077A"/>
    <w:rsid w:val="002D2122"/>
    <w:rsid w:val="002E0048"/>
    <w:rsid w:val="002E63B4"/>
    <w:rsid w:val="002E71B4"/>
    <w:rsid w:val="002F10FE"/>
    <w:rsid w:val="002F187F"/>
    <w:rsid w:val="002F61AE"/>
    <w:rsid w:val="00303EAE"/>
    <w:rsid w:val="00312ED8"/>
    <w:rsid w:val="003162F7"/>
    <w:rsid w:val="00316A96"/>
    <w:rsid w:val="00346A21"/>
    <w:rsid w:val="00353CB6"/>
    <w:rsid w:val="00355544"/>
    <w:rsid w:val="0036705A"/>
    <w:rsid w:val="003805CC"/>
    <w:rsid w:val="003866A5"/>
    <w:rsid w:val="00392BC7"/>
    <w:rsid w:val="003B65D6"/>
    <w:rsid w:val="003C0F64"/>
    <w:rsid w:val="003D32E8"/>
    <w:rsid w:val="003D4DF2"/>
    <w:rsid w:val="003D7FC1"/>
    <w:rsid w:val="003E054F"/>
    <w:rsid w:val="003E2896"/>
    <w:rsid w:val="004051F5"/>
    <w:rsid w:val="004078C6"/>
    <w:rsid w:val="004306DE"/>
    <w:rsid w:val="00447C9A"/>
    <w:rsid w:val="00452F33"/>
    <w:rsid w:val="004678D2"/>
    <w:rsid w:val="004715AC"/>
    <w:rsid w:val="0047295F"/>
    <w:rsid w:val="00473866"/>
    <w:rsid w:val="004747E4"/>
    <w:rsid w:val="004769EE"/>
    <w:rsid w:val="00477CCA"/>
    <w:rsid w:val="00482E58"/>
    <w:rsid w:val="0048398B"/>
    <w:rsid w:val="00484867"/>
    <w:rsid w:val="00492F09"/>
    <w:rsid w:val="00496810"/>
    <w:rsid w:val="004A7A26"/>
    <w:rsid w:val="004B152D"/>
    <w:rsid w:val="004B4858"/>
    <w:rsid w:val="004B760C"/>
    <w:rsid w:val="004C0B87"/>
    <w:rsid w:val="004C3C9C"/>
    <w:rsid w:val="004D704B"/>
    <w:rsid w:val="004E1C95"/>
    <w:rsid w:val="004E27E0"/>
    <w:rsid w:val="004E4F49"/>
    <w:rsid w:val="004E6429"/>
    <w:rsid w:val="005116A7"/>
    <w:rsid w:val="00513D3B"/>
    <w:rsid w:val="0052130A"/>
    <w:rsid w:val="005236C8"/>
    <w:rsid w:val="0052477F"/>
    <w:rsid w:val="00526471"/>
    <w:rsid w:val="00554355"/>
    <w:rsid w:val="0056273D"/>
    <w:rsid w:val="00564CFC"/>
    <w:rsid w:val="00573EFB"/>
    <w:rsid w:val="005828E7"/>
    <w:rsid w:val="005851D4"/>
    <w:rsid w:val="00596D54"/>
    <w:rsid w:val="005B6934"/>
    <w:rsid w:val="005B7173"/>
    <w:rsid w:val="005C3766"/>
    <w:rsid w:val="005F23CE"/>
    <w:rsid w:val="005F74D6"/>
    <w:rsid w:val="00601A75"/>
    <w:rsid w:val="00610616"/>
    <w:rsid w:val="0061340B"/>
    <w:rsid w:val="006176DE"/>
    <w:rsid w:val="00620C5E"/>
    <w:rsid w:val="006312A1"/>
    <w:rsid w:val="00637FDF"/>
    <w:rsid w:val="00655FF3"/>
    <w:rsid w:val="00657861"/>
    <w:rsid w:val="006662A4"/>
    <w:rsid w:val="00666600"/>
    <w:rsid w:val="0067589E"/>
    <w:rsid w:val="00675AB8"/>
    <w:rsid w:val="00677264"/>
    <w:rsid w:val="00692F92"/>
    <w:rsid w:val="00694CEB"/>
    <w:rsid w:val="006A0812"/>
    <w:rsid w:val="006C35E7"/>
    <w:rsid w:val="006C4794"/>
    <w:rsid w:val="006F0088"/>
    <w:rsid w:val="0070729A"/>
    <w:rsid w:val="007221CA"/>
    <w:rsid w:val="00727DF3"/>
    <w:rsid w:val="0074069C"/>
    <w:rsid w:val="0074650D"/>
    <w:rsid w:val="00746E43"/>
    <w:rsid w:val="00754637"/>
    <w:rsid w:val="0075516F"/>
    <w:rsid w:val="00760EF5"/>
    <w:rsid w:val="0076198C"/>
    <w:rsid w:val="00787425"/>
    <w:rsid w:val="00792E85"/>
    <w:rsid w:val="00796706"/>
    <w:rsid w:val="007A00BE"/>
    <w:rsid w:val="007A12A4"/>
    <w:rsid w:val="007A5033"/>
    <w:rsid w:val="007A5573"/>
    <w:rsid w:val="007B3A2F"/>
    <w:rsid w:val="007B4EF7"/>
    <w:rsid w:val="007C1AF0"/>
    <w:rsid w:val="007D1850"/>
    <w:rsid w:val="007E0EE9"/>
    <w:rsid w:val="007E58F2"/>
    <w:rsid w:val="007F1044"/>
    <w:rsid w:val="007F4801"/>
    <w:rsid w:val="007F5D28"/>
    <w:rsid w:val="00807A64"/>
    <w:rsid w:val="0083388D"/>
    <w:rsid w:val="00834575"/>
    <w:rsid w:val="00854885"/>
    <w:rsid w:val="00860B61"/>
    <w:rsid w:val="008718C2"/>
    <w:rsid w:val="00874230"/>
    <w:rsid w:val="00886760"/>
    <w:rsid w:val="00891B8A"/>
    <w:rsid w:val="008C2FF7"/>
    <w:rsid w:val="008C5E6B"/>
    <w:rsid w:val="008D2BB6"/>
    <w:rsid w:val="008E02CD"/>
    <w:rsid w:val="0092184C"/>
    <w:rsid w:val="009402C9"/>
    <w:rsid w:val="0094568A"/>
    <w:rsid w:val="00991C9A"/>
    <w:rsid w:val="0099600A"/>
    <w:rsid w:val="00997FC0"/>
    <w:rsid w:val="009C062C"/>
    <w:rsid w:val="009C56F7"/>
    <w:rsid w:val="009C6483"/>
    <w:rsid w:val="009D1F7F"/>
    <w:rsid w:val="009D76BB"/>
    <w:rsid w:val="009E3994"/>
    <w:rsid w:val="009E568D"/>
    <w:rsid w:val="009F29C6"/>
    <w:rsid w:val="00A00C3F"/>
    <w:rsid w:val="00A07C85"/>
    <w:rsid w:val="00A17B26"/>
    <w:rsid w:val="00A37D7E"/>
    <w:rsid w:val="00A41C02"/>
    <w:rsid w:val="00A42A14"/>
    <w:rsid w:val="00A476C9"/>
    <w:rsid w:val="00A53AF0"/>
    <w:rsid w:val="00A721E5"/>
    <w:rsid w:val="00A92E7A"/>
    <w:rsid w:val="00A957F5"/>
    <w:rsid w:val="00A978CF"/>
    <w:rsid w:val="00AA6882"/>
    <w:rsid w:val="00AB063C"/>
    <w:rsid w:val="00AB2FB7"/>
    <w:rsid w:val="00AB3612"/>
    <w:rsid w:val="00AB5C8B"/>
    <w:rsid w:val="00AC185B"/>
    <w:rsid w:val="00AE30C5"/>
    <w:rsid w:val="00AF2122"/>
    <w:rsid w:val="00AF4075"/>
    <w:rsid w:val="00AF6E7E"/>
    <w:rsid w:val="00B145B0"/>
    <w:rsid w:val="00B14B7D"/>
    <w:rsid w:val="00B27A61"/>
    <w:rsid w:val="00B27C80"/>
    <w:rsid w:val="00B342B2"/>
    <w:rsid w:val="00B40810"/>
    <w:rsid w:val="00B53686"/>
    <w:rsid w:val="00B637F4"/>
    <w:rsid w:val="00B64C95"/>
    <w:rsid w:val="00B65748"/>
    <w:rsid w:val="00B836D2"/>
    <w:rsid w:val="00B84250"/>
    <w:rsid w:val="00B85B70"/>
    <w:rsid w:val="00B918EF"/>
    <w:rsid w:val="00BA01B2"/>
    <w:rsid w:val="00BA5559"/>
    <w:rsid w:val="00BA5AEE"/>
    <w:rsid w:val="00BB24FD"/>
    <w:rsid w:val="00BD6F81"/>
    <w:rsid w:val="00BF0E45"/>
    <w:rsid w:val="00BF21F7"/>
    <w:rsid w:val="00BF28DD"/>
    <w:rsid w:val="00C05DAE"/>
    <w:rsid w:val="00C107E6"/>
    <w:rsid w:val="00C31B51"/>
    <w:rsid w:val="00C33E51"/>
    <w:rsid w:val="00C356B4"/>
    <w:rsid w:val="00C47B15"/>
    <w:rsid w:val="00C51F1B"/>
    <w:rsid w:val="00C741CA"/>
    <w:rsid w:val="00C86AAD"/>
    <w:rsid w:val="00C93066"/>
    <w:rsid w:val="00C9455B"/>
    <w:rsid w:val="00CA072D"/>
    <w:rsid w:val="00CA4568"/>
    <w:rsid w:val="00CA4B20"/>
    <w:rsid w:val="00CB3B7C"/>
    <w:rsid w:val="00CC01B2"/>
    <w:rsid w:val="00CC4993"/>
    <w:rsid w:val="00CC5DC4"/>
    <w:rsid w:val="00CD0EC7"/>
    <w:rsid w:val="00CD3844"/>
    <w:rsid w:val="00CD54A0"/>
    <w:rsid w:val="00CD7643"/>
    <w:rsid w:val="00CE79D2"/>
    <w:rsid w:val="00CF0DAE"/>
    <w:rsid w:val="00CF26C8"/>
    <w:rsid w:val="00D016D3"/>
    <w:rsid w:val="00D0384B"/>
    <w:rsid w:val="00D13782"/>
    <w:rsid w:val="00D14136"/>
    <w:rsid w:val="00D159C1"/>
    <w:rsid w:val="00D22957"/>
    <w:rsid w:val="00D2741F"/>
    <w:rsid w:val="00D348EC"/>
    <w:rsid w:val="00D377DD"/>
    <w:rsid w:val="00D4043C"/>
    <w:rsid w:val="00D41884"/>
    <w:rsid w:val="00D51196"/>
    <w:rsid w:val="00D51902"/>
    <w:rsid w:val="00D52D76"/>
    <w:rsid w:val="00D81B04"/>
    <w:rsid w:val="00D943A8"/>
    <w:rsid w:val="00DA140D"/>
    <w:rsid w:val="00DB28AF"/>
    <w:rsid w:val="00DB2FD2"/>
    <w:rsid w:val="00DB4574"/>
    <w:rsid w:val="00DC76E6"/>
    <w:rsid w:val="00DD1C17"/>
    <w:rsid w:val="00DD4F3C"/>
    <w:rsid w:val="00DE464C"/>
    <w:rsid w:val="00DF1A20"/>
    <w:rsid w:val="00DF719D"/>
    <w:rsid w:val="00E11094"/>
    <w:rsid w:val="00E20292"/>
    <w:rsid w:val="00E218BD"/>
    <w:rsid w:val="00E41004"/>
    <w:rsid w:val="00E52D7E"/>
    <w:rsid w:val="00E6140C"/>
    <w:rsid w:val="00E629A3"/>
    <w:rsid w:val="00E833A7"/>
    <w:rsid w:val="00EA514E"/>
    <w:rsid w:val="00EB3F93"/>
    <w:rsid w:val="00EC1F01"/>
    <w:rsid w:val="00EC4C01"/>
    <w:rsid w:val="00EE14B0"/>
    <w:rsid w:val="00EE24D8"/>
    <w:rsid w:val="00EE3D7D"/>
    <w:rsid w:val="00EE5912"/>
    <w:rsid w:val="00EE5BF2"/>
    <w:rsid w:val="00F1057E"/>
    <w:rsid w:val="00F244D0"/>
    <w:rsid w:val="00F25E49"/>
    <w:rsid w:val="00F33DB2"/>
    <w:rsid w:val="00F502AA"/>
    <w:rsid w:val="00F50E50"/>
    <w:rsid w:val="00F5350B"/>
    <w:rsid w:val="00F535BF"/>
    <w:rsid w:val="00F545CF"/>
    <w:rsid w:val="00F62ECF"/>
    <w:rsid w:val="00F76C61"/>
    <w:rsid w:val="00F80EED"/>
    <w:rsid w:val="00F81B1E"/>
    <w:rsid w:val="00F95FC0"/>
    <w:rsid w:val="00F96073"/>
    <w:rsid w:val="00F97488"/>
    <w:rsid w:val="00FA2113"/>
    <w:rsid w:val="00FC4011"/>
    <w:rsid w:val="00FD42D8"/>
    <w:rsid w:val="00FD68BA"/>
    <w:rsid w:val="00FE6D72"/>
    <w:rsid w:val="00FF0115"/>
    <w:rsid w:val="00FF2B8C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before="120" w:after="120"/>
      <w:jc w:val="both"/>
    </w:pPr>
    <w:rPr>
      <w:snapToGrid w:val="0"/>
      <w:sz w:val="24"/>
      <w:szCs w:val="24"/>
      <w:lang w:eastAsia="en-GB"/>
    </w:rPr>
  </w:style>
  <w:style w:type="paragraph" w:styleId="Cmsor1">
    <w:name w:val="heading 1"/>
    <w:basedOn w:val="Norml"/>
    <w:next w:val="Text1"/>
    <w:qFormat/>
    <w:rsid w:val="00E218BD"/>
    <w:pPr>
      <w:keepNext/>
      <w:numPr>
        <w:numId w:val="44"/>
      </w:numPr>
      <w:spacing w:before="360"/>
      <w:outlineLvl w:val="0"/>
    </w:pPr>
    <w:rPr>
      <w:b/>
      <w:bCs/>
      <w:smallCaps/>
      <w:snapToGrid/>
      <w:szCs w:val="32"/>
      <w:lang w:eastAsia="de-DE"/>
    </w:rPr>
  </w:style>
  <w:style w:type="paragraph" w:styleId="Cmsor2">
    <w:name w:val="heading 2"/>
    <w:basedOn w:val="Norml"/>
    <w:next w:val="Text2"/>
    <w:qFormat/>
    <w:rsid w:val="00E218BD"/>
    <w:pPr>
      <w:keepNext/>
      <w:numPr>
        <w:ilvl w:val="1"/>
        <w:numId w:val="44"/>
      </w:numPr>
      <w:outlineLvl w:val="1"/>
    </w:pPr>
    <w:rPr>
      <w:b/>
      <w:bCs/>
      <w:iCs/>
      <w:snapToGrid/>
      <w:szCs w:val="28"/>
      <w:lang w:eastAsia="de-DE"/>
    </w:rPr>
  </w:style>
  <w:style w:type="paragraph" w:styleId="Cmsor3">
    <w:name w:val="heading 3"/>
    <w:basedOn w:val="Norml"/>
    <w:next w:val="Text3"/>
    <w:qFormat/>
    <w:rsid w:val="00E218BD"/>
    <w:pPr>
      <w:keepNext/>
      <w:numPr>
        <w:ilvl w:val="2"/>
        <w:numId w:val="44"/>
      </w:numPr>
      <w:outlineLvl w:val="2"/>
    </w:pPr>
    <w:rPr>
      <w:bCs/>
      <w:i/>
      <w:snapToGrid/>
      <w:szCs w:val="26"/>
      <w:lang w:eastAsia="de-DE"/>
    </w:rPr>
  </w:style>
  <w:style w:type="paragraph" w:styleId="Cmsor4">
    <w:name w:val="heading 4"/>
    <w:basedOn w:val="Norml"/>
    <w:next w:val="Text4"/>
    <w:qFormat/>
    <w:rsid w:val="00E218BD"/>
    <w:pPr>
      <w:keepNext/>
      <w:numPr>
        <w:ilvl w:val="3"/>
        <w:numId w:val="44"/>
      </w:numPr>
      <w:outlineLvl w:val="3"/>
    </w:pPr>
    <w:rPr>
      <w:bCs/>
      <w:snapToGrid/>
      <w:szCs w:val="28"/>
      <w:lang w:eastAsia="de-D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right" w:pos="9071"/>
      </w:tabs>
    </w:pPr>
  </w:style>
  <w:style w:type="paragraph" w:styleId="llb">
    <w:name w:val="footer"/>
    <w:basedOn w:val="Norml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styleId="Lbjegyzetszveg">
    <w:name w:val="footnote text"/>
    <w:basedOn w:val="Norml"/>
    <w:semiHidden/>
    <w:pPr>
      <w:spacing w:before="0" w:after="0"/>
      <w:ind w:left="720" w:hanging="720"/>
    </w:pPr>
    <w:rPr>
      <w:sz w:val="20"/>
      <w:szCs w:val="20"/>
    </w:rPr>
  </w:style>
  <w:style w:type="paragraph" w:styleId="Felsorols">
    <w:name w:val="List Bullet"/>
    <w:basedOn w:val="Norml"/>
    <w:pPr>
      <w:numPr>
        <w:numId w:val="25"/>
      </w:numPr>
    </w:pPr>
  </w:style>
  <w:style w:type="paragraph" w:styleId="Felsorols2">
    <w:name w:val="List Bullet 2"/>
    <w:basedOn w:val="Norml"/>
    <w:pPr>
      <w:numPr>
        <w:numId w:val="27"/>
      </w:numPr>
    </w:pPr>
  </w:style>
  <w:style w:type="paragraph" w:styleId="Felsorols3">
    <w:name w:val="List Bullet 3"/>
    <w:basedOn w:val="Norml"/>
    <w:pPr>
      <w:numPr>
        <w:numId w:val="28"/>
      </w:numPr>
    </w:pPr>
  </w:style>
  <w:style w:type="paragraph" w:styleId="Felsorols4">
    <w:name w:val="List Bullet 4"/>
    <w:basedOn w:val="Norml"/>
    <w:pPr>
      <w:numPr>
        <w:numId w:val="29"/>
      </w:numPr>
    </w:pPr>
  </w:style>
  <w:style w:type="paragraph" w:styleId="Szmozottlista">
    <w:name w:val="List Number"/>
    <w:basedOn w:val="Norml"/>
    <w:pPr>
      <w:numPr>
        <w:numId w:val="35"/>
      </w:numPr>
    </w:pPr>
  </w:style>
  <w:style w:type="paragraph" w:styleId="Szmozottlista2">
    <w:name w:val="List Number 2"/>
    <w:basedOn w:val="Norml"/>
    <w:pPr>
      <w:numPr>
        <w:numId w:val="37"/>
      </w:numPr>
    </w:pPr>
  </w:style>
  <w:style w:type="paragraph" w:styleId="Szmozottlista3">
    <w:name w:val="List Number 3"/>
    <w:basedOn w:val="Norml"/>
    <w:pPr>
      <w:numPr>
        <w:numId w:val="38"/>
      </w:numPr>
    </w:pPr>
  </w:style>
  <w:style w:type="paragraph" w:styleId="Szmozottlista4">
    <w:name w:val="List Number 4"/>
    <w:basedOn w:val="Norml"/>
    <w:pPr>
      <w:numPr>
        <w:numId w:val="39"/>
      </w:numPr>
    </w:pPr>
  </w:style>
  <w:style w:type="paragraph" w:styleId="TJ1">
    <w:name w:val="toc 1"/>
    <w:basedOn w:val="Norml"/>
    <w:next w:val="Norm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semiHidden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semiHidden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semiHidden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semiHidden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pPr>
      <w:tabs>
        <w:tab w:val="right" w:pos="14003"/>
      </w:tabs>
    </w:pPr>
  </w:style>
  <w:style w:type="paragraph" w:customStyle="1" w:styleId="FooterLandscape">
    <w:name w:val="FooterLandscape"/>
    <w:basedOn w:val="Norm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aliases w:val="Footnote symbol,EN Footnote Reference,Times 10 Point,Exposant 3 Point,Footnote reference number,note TESI,Footnote Reference Superscript"/>
    <w:basedOn w:val="Bekezdsalapbettpusa"/>
    <w:semiHidden/>
    <w:rPr>
      <w:rFonts w:cs="Times New Roman"/>
      <w:vertAlign w:val="superscript"/>
    </w:rPr>
  </w:style>
  <w:style w:type="paragraph" w:customStyle="1" w:styleId="Text1">
    <w:name w:val="Text 1"/>
    <w:basedOn w:val="Norml"/>
    <w:pPr>
      <w:ind w:left="850"/>
    </w:pPr>
  </w:style>
  <w:style w:type="paragraph" w:customStyle="1" w:styleId="Text2">
    <w:name w:val="Text 2"/>
    <w:basedOn w:val="Norml"/>
    <w:pPr>
      <w:ind w:left="850"/>
    </w:pPr>
  </w:style>
  <w:style w:type="paragraph" w:customStyle="1" w:styleId="Text3">
    <w:name w:val="Text 3"/>
    <w:basedOn w:val="Norml"/>
    <w:pPr>
      <w:ind w:left="850"/>
    </w:pPr>
  </w:style>
  <w:style w:type="paragraph" w:customStyle="1" w:styleId="Text4">
    <w:name w:val="Text 4"/>
    <w:basedOn w:val="Norml"/>
    <w:pPr>
      <w:ind w:left="850"/>
    </w:pPr>
  </w:style>
  <w:style w:type="paragraph" w:customStyle="1" w:styleId="NormalCentered">
    <w:name w:val="Normal Centered"/>
    <w:basedOn w:val="Norml"/>
    <w:pPr>
      <w:jc w:val="center"/>
    </w:pPr>
  </w:style>
  <w:style w:type="paragraph" w:customStyle="1" w:styleId="NormalLeft">
    <w:name w:val="Normal Left"/>
    <w:basedOn w:val="Norml"/>
    <w:pPr>
      <w:jc w:val="left"/>
    </w:pPr>
  </w:style>
  <w:style w:type="paragraph" w:customStyle="1" w:styleId="NormalRight">
    <w:name w:val="Normal Right"/>
    <w:basedOn w:val="Norml"/>
    <w:pPr>
      <w:jc w:val="right"/>
    </w:pPr>
  </w:style>
  <w:style w:type="paragraph" w:customStyle="1" w:styleId="QuotedText">
    <w:name w:val="Quoted Text"/>
    <w:basedOn w:val="Norml"/>
    <w:pPr>
      <w:ind w:left="1417"/>
    </w:pPr>
  </w:style>
  <w:style w:type="paragraph" w:customStyle="1" w:styleId="Point0">
    <w:name w:val="Point 0"/>
    <w:basedOn w:val="Norml"/>
    <w:pPr>
      <w:ind w:left="850" w:hanging="850"/>
    </w:pPr>
  </w:style>
  <w:style w:type="paragraph" w:customStyle="1" w:styleId="Point1">
    <w:name w:val="Point 1"/>
    <w:basedOn w:val="Norml"/>
    <w:pPr>
      <w:ind w:left="1417" w:hanging="567"/>
    </w:pPr>
  </w:style>
  <w:style w:type="paragraph" w:customStyle="1" w:styleId="Point2">
    <w:name w:val="Point 2"/>
    <w:basedOn w:val="Norml"/>
    <w:pPr>
      <w:ind w:left="1984" w:hanging="567"/>
    </w:pPr>
  </w:style>
  <w:style w:type="paragraph" w:customStyle="1" w:styleId="Point3">
    <w:name w:val="Point 3"/>
    <w:basedOn w:val="Norml"/>
    <w:pPr>
      <w:ind w:left="2551" w:hanging="567"/>
    </w:pPr>
  </w:style>
  <w:style w:type="paragraph" w:customStyle="1" w:styleId="Point4">
    <w:name w:val="Point 4"/>
    <w:basedOn w:val="Norml"/>
    <w:pPr>
      <w:ind w:left="3118" w:hanging="567"/>
    </w:pPr>
  </w:style>
  <w:style w:type="paragraph" w:customStyle="1" w:styleId="Tiret0">
    <w:name w:val="Tiret 0"/>
    <w:basedOn w:val="Point0"/>
    <w:pPr>
      <w:numPr>
        <w:numId w:val="18"/>
      </w:numPr>
    </w:pPr>
  </w:style>
  <w:style w:type="paragraph" w:customStyle="1" w:styleId="Tiret1">
    <w:name w:val="Tiret 1"/>
    <w:basedOn w:val="Point1"/>
    <w:pPr>
      <w:numPr>
        <w:numId w:val="19"/>
      </w:numPr>
    </w:pPr>
  </w:style>
  <w:style w:type="paragraph" w:customStyle="1" w:styleId="Tiret2">
    <w:name w:val="Tiret 2"/>
    <w:basedOn w:val="Point2"/>
    <w:pPr>
      <w:numPr>
        <w:numId w:val="20"/>
      </w:numPr>
    </w:pPr>
  </w:style>
  <w:style w:type="paragraph" w:customStyle="1" w:styleId="Tiret3">
    <w:name w:val="Tiret 3"/>
    <w:basedOn w:val="Point3"/>
    <w:pPr>
      <w:numPr>
        <w:numId w:val="21"/>
      </w:numPr>
    </w:pPr>
  </w:style>
  <w:style w:type="paragraph" w:customStyle="1" w:styleId="Tiret4">
    <w:name w:val="Tiret 4"/>
    <w:basedOn w:val="Point4"/>
    <w:pPr>
      <w:numPr>
        <w:numId w:val="22"/>
      </w:numPr>
    </w:pPr>
  </w:style>
  <w:style w:type="paragraph" w:customStyle="1" w:styleId="PointDouble0">
    <w:name w:val="PointDouble 0"/>
    <w:basedOn w:val="Norm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pPr>
      <w:numPr>
        <w:numId w:val="23"/>
      </w:numPr>
    </w:pPr>
  </w:style>
  <w:style w:type="paragraph" w:customStyle="1" w:styleId="NumPar2">
    <w:name w:val="NumPar 2"/>
    <w:basedOn w:val="Norml"/>
    <w:next w:val="Text2"/>
    <w:pPr>
      <w:numPr>
        <w:ilvl w:val="1"/>
        <w:numId w:val="23"/>
      </w:numPr>
    </w:pPr>
  </w:style>
  <w:style w:type="paragraph" w:customStyle="1" w:styleId="NumPar3">
    <w:name w:val="NumPar 3"/>
    <w:basedOn w:val="Norml"/>
    <w:next w:val="Text3"/>
    <w:pPr>
      <w:numPr>
        <w:ilvl w:val="2"/>
        <w:numId w:val="23"/>
      </w:numPr>
    </w:pPr>
  </w:style>
  <w:style w:type="paragraph" w:customStyle="1" w:styleId="NumPar4">
    <w:name w:val="NumPar 4"/>
    <w:basedOn w:val="Norml"/>
    <w:next w:val="Text4"/>
    <w:pPr>
      <w:numPr>
        <w:ilvl w:val="3"/>
        <w:numId w:val="23"/>
      </w:numPr>
    </w:pPr>
  </w:style>
  <w:style w:type="paragraph" w:customStyle="1" w:styleId="ManualNumPar1">
    <w:name w:val="Manual NumPar 1"/>
    <w:basedOn w:val="Norml"/>
    <w:next w:val="Text1"/>
    <w:pPr>
      <w:ind w:left="850" w:hanging="850"/>
    </w:pPr>
  </w:style>
  <w:style w:type="paragraph" w:customStyle="1" w:styleId="ManualNumPar2">
    <w:name w:val="Manual NumPar 2"/>
    <w:basedOn w:val="Norml"/>
    <w:next w:val="Text2"/>
    <w:pPr>
      <w:ind w:left="850" w:hanging="850"/>
    </w:pPr>
  </w:style>
  <w:style w:type="paragraph" w:customStyle="1" w:styleId="ManualNumPar3">
    <w:name w:val="Manual NumPar 3"/>
    <w:basedOn w:val="Norml"/>
    <w:next w:val="Text3"/>
    <w:pPr>
      <w:ind w:left="850" w:hanging="850"/>
    </w:pPr>
  </w:style>
  <w:style w:type="paragraph" w:customStyle="1" w:styleId="ManualNumPar4">
    <w:name w:val="Manual NumPar 4"/>
    <w:basedOn w:val="Norml"/>
    <w:next w:val="Text4"/>
    <w:pPr>
      <w:ind w:left="850" w:hanging="850"/>
    </w:pPr>
  </w:style>
  <w:style w:type="paragraph" w:customStyle="1" w:styleId="QuotedNumPar">
    <w:name w:val="Quoted NumPar"/>
    <w:basedOn w:val="Norml"/>
    <w:pPr>
      <w:ind w:left="1417" w:hanging="567"/>
    </w:pPr>
  </w:style>
  <w:style w:type="paragraph" w:customStyle="1" w:styleId="ManualHeading1">
    <w:name w:val="Manual Heading 1"/>
    <w:basedOn w:val="Norm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2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3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4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pPr>
      <w:keepNext/>
      <w:spacing w:after="360"/>
      <w:jc w:val="center"/>
    </w:pPr>
    <w:rPr>
      <w:b/>
      <w:smallCaps/>
      <w:sz w:val="28"/>
    </w:rPr>
  </w:style>
  <w:style w:type="paragraph" w:customStyle="1" w:styleId="ListBullet1">
    <w:name w:val="List Bullet 1"/>
    <w:basedOn w:val="Norml"/>
    <w:pPr>
      <w:numPr>
        <w:numId w:val="26"/>
      </w:numPr>
    </w:pPr>
  </w:style>
  <w:style w:type="paragraph" w:customStyle="1" w:styleId="ListDash">
    <w:name w:val="List Dash"/>
    <w:basedOn w:val="Norml"/>
    <w:pPr>
      <w:numPr>
        <w:numId w:val="30"/>
      </w:numPr>
    </w:pPr>
  </w:style>
  <w:style w:type="paragraph" w:customStyle="1" w:styleId="ListDash1">
    <w:name w:val="List Dash 1"/>
    <w:basedOn w:val="Norml"/>
    <w:pPr>
      <w:numPr>
        <w:numId w:val="31"/>
      </w:numPr>
    </w:pPr>
  </w:style>
  <w:style w:type="paragraph" w:customStyle="1" w:styleId="ListDash2">
    <w:name w:val="List Dash 2"/>
    <w:basedOn w:val="Norml"/>
    <w:pPr>
      <w:numPr>
        <w:numId w:val="32"/>
      </w:numPr>
    </w:pPr>
  </w:style>
  <w:style w:type="paragraph" w:customStyle="1" w:styleId="ListDash3">
    <w:name w:val="List Dash 3"/>
    <w:basedOn w:val="Norml"/>
    <w:pPr>
      <w:numPr>
        <w:numId w:val="33"/>
      </w:numPr>
    </w:pPr>
  </w:style>
  <w:style w:type="paragraph" w:customStyle="1" w:styleId="ListDash4">
    <w:name w:val="List Dash 4"/>
    <w:basedOn w:val="Norml"/>
    <w:pPr>
      <w:numPr>
        <w:numId w:val="34"/>
      </w:numPr>
    </w:pPr>
  </w:style>
  <w:style w:type="paragraph" w:customStyle="1" w:styleId="ListNumber1">
    <w:name w:val="List Number 1"/>
    <w:basedOn w:val="Text1"/>
    <w:pPr>
      <w:numPr>
        <w:numId w:val="36"/>
      </w:numPr>
    </w:pPr>
  </w:style>
  <w:style w:type="paragraph" w:customStyle="1" w:styleId="ListNumberLevel2">
    <w:name w:val="List Number (Level 2)"/>
    <w:basedOn w:val="Norml"/>
    <w:pPr>
      <w:numPr>
        <w:ilvl w:val="1"/>
        <w:numId w:val="3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36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37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38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39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3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3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3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3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39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3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3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3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3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39"/>
      </w:numPr>
    </w:pPr>
  </w:style>
  <w:style w:type="paragraph" w:customStyle="1" w:styleId="TableTitle">
    <w:name w:val="Table Title"/>
    <w:basedOn w:val="Norml"/>
    <w:next w:val="Norml"/>
    <w:pPr>
      <w:jc w:val="center"/>
    </w:pPr>
    <w:rPr>
      <w:b/>
    </w:rPr>
  </w:style>
  <w:style w:type="character" w:customStyle="1" w:styleId="Marker">
    <w:name w:val="Marker"/>
    <w:basedOn w:val="Bekezdsalapbettpusa"/>
    <w:rPr>
      <w:rFonts w:cs="Times New Roman"/>
      <w:color w:val="0000FF"/>
    </w:rPr>
  </w:style>
  <w:style w:type="character" w:customStyle="1" w:styleId="Marker1">
    <w:name w:val="Marker1"/>
    <w:basedOn w:val="Bekezdsalapbettpusa"/>
    <w:rPr>
      <w:rFonts w:cs="Times New Roman"/>
      <w:color w:val="008000"/>
    </w:rPr>
  </w:style>
  <w:style w:type="character" w:customStyle="1" w:styleId="Marker2">
    <w:name w:val="Marker2"/>
    <w:basedOn w:val="Bekezdsalapbettpusa"/>
    <w:rPr>
      <w:rFonts w:cs="Times New Roman"/>
      <w:color w:val="FF0000"/>
    </w:rPr>
  </w:style>
  <w:style w:type="paragraph" w:customStyle="1" w:styleId="TOCHeading">
    <w:name w:val="TOC Heading"/>
    <w:basedOn w:val="Norml"/>
    <w:next w:val="Norml"/>
    <w:pPr>
      <w:spacing w:after="240"/>
      <w:jc w:val="center"/>
    </w:pPr>
    <w:rPr>
      <w:b/>
      <w:sz w:val="28"/>
    </w:rPr>
  </w:style>
  <w:style w:type="paragraph" w:customStyle="1" w:styleId="Annexetitreacte">
    <w:name w:val="Annexe titre (acte)"/>
    <w:basedOn w:val="Norml"/>
    <w:next w:val="Norml"/>
    <w:pPr>
      <w:jc w:val="center"/>
    </w:pPr>
    <w:rPr>
      <w:b/>
      <w:u w:val="single"/>
    </w:rPr>
  </w:style>
  <w:style w:type="paragraph" w:customStyle="1" w:styleId="Annexetitreexposglobal">
    <w:name w:val="Annexe titre (exposé global)"/>
    <w:basedOn w:val="Norml"/>
    <w:next w:val="Norml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Norml"/>
    <w:next w:val="Norml"/>
    <w:pPr>
      <w:jc w:val="center"/>
    </w:pPr>
    <w:rPr>
      <w:b/>
      <w:u w:val="single"/>
    </w:rPr>
  </w:style>
  <w:style w:type="paragraph" w:customStyle="1" w:styleId="Annexetitrefichefinacte">
    <w:name w:val="Annexe titre (fiche fin. acte)"/>
    <w:basedOn w:val="Norml"/>
    <w:next w:val="Norml"/>
    <w:pPr>
      <w:jc w:val="center"/>
    </w:pPr>
    <w:rPr>
      <w:b/>
      <w:u w:val="single"/>
    </w:rPr>
  </w:style>
  <w:style w:type="paragraph" w:customStyle="1" w:styleId="Annexetitrefichefinglobale">
    <w:name w:val="Annexe titre (fiche fin. globale)"/>
    <w:basedOn w:val="Norml"/>
    <w:next w:val="Norml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"/>
    <w:next w:val="Norm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pPr>
      <w:spacing w:before="480"/>
    </w:pPr>
  </w:style>
  <w:style w:type="paragraph" w:customStyle="1" w:styleId="Avertissementtitre">
    <w:name w:val="Avertissement titre"/>
    <w:basedOn w:val="Norml"/>
    <w:next w:val="Norm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pPr>
      <w:spacing w:before="360"/>
      <w:jc w:val="center"/>
    </w:pPr>
  </w:style>
  <w:style w:type="paragraph" w:customStyle="1" w:styleId="Confidentialit">
    <w:name w:val="Confidentialité"/>
    <w:basedOn w:val="Norml"/>
    <w:next w:val="Statut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Norml"/>
    <w:pPr>
      <w:numPr>
        <w:numId w:val="40"/>
      </w:numPr>
    </w:pPr>
  </w:style>
  <w:style w:type="paragraph" w:customStyle="1" w:styleId="Corrigendum">
    <w:name w:val="Corrigendum"/>
    <w:basedOn w:val="Norml"/>
    <w:next w:val="Norml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pPr>
      <w:jc w:val="center"/>
    </w:pPr>
    <w:rPr>
      <w:b/>
      <w:u w:val="single"/>
    </w:rPr>
  </w:style>
  <w:style w:type="paragraph" w:customStyle="1" w:styleId="Exposdesmotifstitreglobal">
    <w:name w:val="Exposé des motifs titre (global)"/>
    <w:basedOn w:val="Norml"/>
    <w:next w:val="Norml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pPr>
      <w:keepNext/>
    </w:pPr>
  </w:style>
  <w:style w:type="paragraph" w:customStyle="1" w:styleId="Institutionquiagit">
    <w:name w:val="Institution qui agit"/>
    <w:basedOn w:val="Norml"/>
    <w:next w:val="Norml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pPr>
      <w:spacing w:before="0" w:after="600"/>
      <w:jc w:val="center"/>
    </w:pPr>
    <w:rPr>
      <w:b/>
      <w:caps/>
    </w:rPr>
  </w:style>
  <w:style w:type="paragraph" w:customStyle="1" w:styleId="Langueoriginale">
    <w:name w:val="Langue originale"/>
    <w:basedOn w:val="Norml"/>
    <w:next w:val="Phrasefinale"/>
    <w:pPr>
      <w:spacing w:before="360"/>
      <w:jc w:val="center"/>
    </w:pPr>
    <w:rPr>
      <w:caps/>
    </w:rPr>
  </w:style>
  <w:style w:type="paragraph" w:customStyle="1" w:styleId="ManualConsidrant">
    <w:name w:val="Manual Considérant"/>
    <w:basedOn w:val="Norml"/>
    <w:pPr>
      <w:ind w:left="709" w:hanging="709"/>
    </w:pPr>
  </w:style>
  <w:style w:type="paragraph" w:customStyle="1" w:styleId="Nomdelinstitution">
    <w:name w:val="Nom de l'institution"/>
    <w:basedOn w:val="Norm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hrasefinale">
    <w:name w:val="Phrase finale"/>
    <w:basedOn w:val="Norml"/>
    <w:next w:val="Norml"/>
    <w:pPr>
      <w:spacing w:before="360" w:after="0"/>
      <w:jc w:val="center"/>
    </w:pPr>
  </w:style>
  <w:style w:type="paragraph" w:customStyle="1" w:styleId="Prliminairetitre">
    <w:name w:val="Préliminaire titre"/>
    <w:basedOn w:val="Norml"/>
    <w:next w:val="Norml"/>
    <w:pPr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Norml"/>
    <w:next w:val="Norml"/>
    <w:pPr>
      <w:spacing w:before="360" w:after="0"/>
      <w:jc w:val="center"/>
    </w:pPr>
    <w:rPr>
      <w:b/>
    </w:rPr>
  </w:style>
  <w:style w:type="paragraph" w:customStyle="1" w:styleId="Rfrenceinstitutionelle">
    <w:name w:val="Référence institutionelle"/>
    <w:basedOn w:val="Norml"/>
    <w:next w:val="Statut"/>
    <w:pPr>
      <w:spacing w:before="0" w:after="240"/>
      <w:ind w:left="5103"/>
      <w:jc w:val="left"/>
    </w:pPr>
  </w:style>
  <w:style w:type="paragraph" w:customStyle="1" w:styleId="Rfrenceinterinstitutionelle">
    <w:name w:val="Référence interinstitutionelle"/>
    <w:basedOn w:val="Norml"/>
    <w:next w:val="Statut"/>
    <w:pPr>
      <w:spacing w:before="0" w:after="0"/>
      <w:ind w:left="5103"/>
      <w:jc w:val="left"/>
    </w:pPr>
  </w:style>
  <w:style w:type="paragraph" w:customStyle="1" w:styleId="Rfrenceinterinstitutionelleprliminaire">
    <w:name w:val="Référence interinstitutionelle (préliminaire)"/>
    <w:basedOn w:val="Norml"/>
    <w:next w:val="Norml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Nomdelinstitution"/>
    <w:pPr>
      <w:spacing w:before="0" w:after="600"/>
      <w:jc w:val="center"/>
    </w:pPr>
    <w:rPr>
      <w:b/>
    </w:rPr>
  </w:style>
  <w:style w:type="paragraph" w:customStyle="1" w:styleId="Sous-titreobjet">
    <w:name w:val="Sous-titre objet"/>
    <w:basedOn w:val="Norml"/>
    <w:pPr>
      <w:spacing w:before="0" w:after="0"/>
      <w:jc w:val="center"/>
    </w:pPr>
    <w:rPr>
      <w:b/>
    </w:rPr>
  </w:style>
  <w:style w:type="paragraph" w:customStyle="1" w:styleId="Sous-titreobjetprliminaire">
    <w:name w:val="Sous-titre objet (préliminaire)"/>
    <w:basedOn w:val="Norml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pPr>
      <w:spacing w:before="360" w:after="0"/>
      <w:jc w:val="center"/>
    </w:pPr>
  </w:style>
  <w:style w:type="paragraph" w:customStyle="1" w:styleId="Statutprliminaire">
    <w:name w:val="Statut (préliminaire)"/>
    <w:basedOn w:val="Norml"/>
    <w:next w:val="Norml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pPr>
      <w:spacing w:before="360" w:after="360"/>
      <w:jc w:val="center"/>
    </w:pPr>
    <w:rPr>
      <w:b/>
    </w:rPr>
  </w:style>
  <w:style w:type="paragraph" w:customStyle="1" w:styleId="Titreobjetprliminaire">
    <w:name w:val="Titre objet (préliminaire)"/>
    <w:basedOn w:val="Norml"/>
    <w:next w:val="Norml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"/>
    <w:next w:val="Datedadoption"/>
    <w:pPr>
      <w:spacing w:before="360" w:after="0"/>
      <w:jc w:val="center"/>
    </w:pPr>
    <w:rPr>
      <w:b/>
    </w:rPr>
  </w:style>
  <w:style w:type="paragraph" w:customStyle="1" w:styleId="Typedudocumentprliminaire">
    <w:name w:val="Type du document (préliminaire)"/>
    <w:basedOn w:val="Norml"/>
    <w:next w:val="Norml"/>
    <w:pPr>
      <w:spacing w:before="360" w:after="0"/>
      <w:jc w:val="center"/>
    </w:pPr>
    <w:rPr>
      <w:b/>
    </w:rPr>
  </w:style>
  <w:style w:type="character" w:customStyle="1" w:styleId="Added">
    <w:name w:val="Added"/>
    <w:basedOn w:val="Bekezdsalapbettpusa"/>
    <w:rPr>
      <w:rFonts w:cs="Times New Roman"/>
      <w:b/>
      <w:u w:val="single"/>
    </w:rPr>
  </w:style>
  <w:style w:type="character" w:customStyle="1" w:styleId="Deleted">
    <w:name w:val="Deleted"/>
    <w:basedOn w:val="Bekezdsalapbettpusa"/>
    <w:rPr>
      <w:rFonts w:cs="Times New Roman"/>
      <w:strike/>
    </w:rPr>
  </w:style>
  <w:style w:type="paragraph" w:customStyle="1" w:styleId="Address">
    <w:name w:val="Address"/>
    <w:basedOn w:val="Norml"/>
    <w:next w:val="Norml"/>
    <w:pPr>
      <w:keepLines/>
      <w:spacing w:line="360" w:lineRule="auto"/>
      <w:ind w:left="3402"/>
      <w:jc w:val="left"/>
    </w:pPr>
  </w:style>
  <w:style w:type="paragraph" w:customStyle="1" w:styleId="Fichefinancirestandardtitre">
    <w:name w:val="Fiche financière (standard) titre"/>
    <w:basedOn w:val="Norml"/>
    <w:next w:val="Norml"/>
    <w:pPr>
      <w:jc w:val="center"/>
    </w:pPr>
    <w:rPr>
      <w:b/>
      <w:u w:val="single"/>
    </w:rPr>
  </w:style>
  <w:style w:type="paragraph" w:customStyle="1" w:styleId="Fichefinancirestandardtitreacte">
    <w:name w:val="Fiche financière (standard) titre (acte)"/>
    <w:basedOn w:val="Norml"/>
    <w:next w:val="Norml"/>
    <w:pPr>
      <w:jc w:val="center"/>
    </w:pPr>
    <w:rPr>
      <w:b/>
      <w:u w:val="single"/>
    </w:rPr>
  </w:style>
  <w:style w:type="paragraph" w:customStyle="1" w:styleId="Fichefinanciretravailtitre">
    <w:name w:val="Fiche financière (travail) titre"/>
    <w:basedOn w:val="Norml"/>
    <w:next w:val="Norml"/>
    <w:pPr>
      <w:jc w:val="center"/>
    </w:pPr>
    <w:rPr>
      <w:b/>
      <w:u w:val="single"/>
    </w:rPr>
  </w:style>
  <w:style w:type="paragraph" w:customStyle="1" w:styleId="Fichefinanciretravailtitreacte">
    <w:name w:val="Fiche financière (travail) titre (acte)"/>
    <w:basedOn w:val="Norml"/>
    <w:next w:val="Norml"/>
    <w:pPr>
      <w:jc w:val="center"/>
    </w:pPr>
    <w:rPr>
      <w:b/>
      <w:u w:val="single"/>
    </w:rPr>
  </w:style>
  <w:style w:type="paragraph" w:customStyle="1" w:styleId="Fichefinancireattributiontitre">
    <w:name w:val="Fiche financière (attribution) titre"/>
    <w:basedOn w:val="Norml"/>
    <w:next w:val="Norml"/>
    <w:pPr>
      <w:jc w:val="center"/>
    </w:pPr>
    <w:rPr>
      <w:b/>
      <w:u w:val="single"/>
    </w:rPr>
  </w:style>
  <w:style w:type="paragraph" w:customStyle="1" w:styleId="Fichefinancireattributiontitreacte">
    <w:name w:val="Fiche financière (attribution) titre (acte)"/>
    <w:basedOn w:val="Norml"/>
    <w:next w:val="Norml"/>
    <w:pPr>
      <w:jc w:val="center"/>
    </w:pPr>
    <w:rPr>
      <w:b/>
      <w:u w:val="single"/>
    </w:rPr>
  </w:style>
  <w:style w:type="paragraph" w:customStyle="1" w:styleId="Objetexterne">
    <w:name w:val="Objet externe"/>
    <w:basedOn w:val="Norml"/>
    <w:next w:val="Norml"/>
    <w:rPr>
      <w:i/>
      <w:caps/>
    </w:rPr>
  </w:style>
  <w:style w:type="paragraph" w:styleId="Szmozottlista5">
    <w:name w:val="List Number 5"/>
    <w:basedOn w:val="Norml"/>
    <w:pPr>
      <w:numPr>
        <w:numId w:val="41"/>
      </w:numPr>
    </w:pPr>
  </w:style>
  <w:style w:type="table" w:styleId="Rcsostblzat">
    <w:name w:val="Table Grid"/>
    <w:basedOn w:val="Normltblzat"/>
    <w:pPr>
      <w:spacing w:before="120" w:after="120"/>
      <w:jc w:val="both"/>
    </w:pPr>
    <w:rPr>
      <w:snapToGrid w:val="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Pr>
      <w:rFonts w:cs="Times New Roman"/>
      <w:sz w:val="16"/>
      <w:szCs w:val="16"/>
    </w:rPr>
  </w:style>
  <w:style w:type="paragraph" w:styleId="Jegyzetszveg">
    <w:name w:val="annotation text"/>
    <w:basedOn w:val="Norml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character" w:styleId="Hiperhivatkozs">
    <w:name w:val="Hyperlink"/>
    <w:basedOn w:val="Bekezdsalapbettpusa"/>
    <w:rPr>
      <w:rFonts w:cs="Times New Roman"/>
      <w:color w:val="0000FF"/>
      <w:u w:val="single"/>
    </w:rPr>
  </w:style>
  <w:style w:type="character" w:customStyle="1" w:styleId="textparagraph">
    <w:name w:val="textparagraph"/>
    <w:basedOn w:val="Bekezdsalapbettpus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CO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2</TotalTime>
  <Pages>10</Pages>
  <Words>2900</Words>
  <Characters>20682</Characters>
  <Application>Microsoft Office Word</Application>
  <DocSecurity>0</DocSecurity>
  <Lines>344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</vt:lpstr>
    </vt:vector>
  </TitlesOfParts>
  <Company/>
  <LinksUpToDate>false</LinksUpToDate>
  <CharactersWithSpaces>23451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</dc:title>
  <dc:creator>Demjén Tibor</dc:creator>
  <cp:lastModifiedBy>Demjén Tibor</cp:lastModifiedBy>
  <cp:revision>2</cp:revision>
  <cp:lastPrinted>2009-05-25T16:02:00Z</cp:lastPrinted>
  <dcterms:created xsi:type="dcterms:W3CDTF">2010-12-29T16:14:00Z</dcterms:created>
  <dcterms:modified xsi:type="dcterms:W3CDTF">2010-12-29T16:14:00Z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C/SEC</vt:lpwstr>
  </property>
  <property fmtid="{D5CDD505-2E9C-101B-9397-08002B2CF9AE}" pid="3" name="Classification">
    <vt:lpwstr> </vt:lpwstr>
  </property>
  <property fmtid="{D5CDD505-2E9C-101B-9397-08002B2CF9AE}" pid="4" name="Version">
    <vt:lpwstr>5.6.9.0</vt:lpwstr>
  </property>
  <property fmtid="{D5CDD505-2E9C-101B-9397-08002B2CF9AE}" pid="5" name="Last edited using">
    <vt:lpwstr>LW 5.6, Build 20080205</vt:lpwstr>
  </property>
  <property fmtid="{D5CDD505-2E9C-101B-9397-08002B2CF9AE}" pid="6" name="Created using">
    <vt:lpwstr>LW 5.6, Build 20080205</vt:lpwstr>
  </property>
  <property fmtid="{D5CDD505-2E9C-101B-9397-08002B2CF9AE}" pid="7" name="_NewReviewCycle">
    <vt:lpwstr/>
  </property>
</Properties>
</file>